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Hlk144302245"/>
    <w:p w:rsidR="00E61872" w:rsidP="00416A86" w14:paraId="56A1A68A" w14:textId="77777777">
      <w:pPr>
        <w:pStyle w:val="Titel"/>
        <w:rPr>
          <w:rFonts w:eastAsia="Times New Roman"/>
        </w:rPr>
      </w:pPr>
      <w:r w:rsidRPr="0017789C">
        <w:fldChar w:fldCharType="begin"/>
      </w:r>
      <w:r w:rsidR="00BD2375">
        <w:instrText xml:space="preserve"> DOCPROPERTY C_Title \* MERGEFORMAT \* FirstCap </w:instrText>
      </w:r>
      <w:r w:rsidRPr="0017789C">
        <w:fldChar w:fldCharType="separate"/>
      </w:r>
      <w:r w:rsidRPr="0017789C">
        <w:rPr>
          <w:rFonts w:eastAsia="Times New Roman"/>
        </w:rPr>
        <w:t>Ersättning</w:t>
      </w:r>
      <w:r w:rsidR="00BD2375">
        <w:t xml:space="preserve"> vid brist på klorhexidinsprit 5mg/ml</w:t>
      </w:r>
      <w:r w:rsidRPr="0017789C">
        <w:rPr>
          <w:rFonts w:eastAsia="Times New Roman"/>
        </w:rPr>
        <w:fldChar w:fldCharType="end"/>
      </w:r>
    </w:p>
    <w:p w:rsidR="00F45001" w:rsidRPr="00D87AE8" w:rsidP="00F45001" w14:paraId="127ED36D" w14:textId="34BB5D93">
      <w:pPr>
        <w:pStyle w:val="Brdtext-RJH"/>
        <w:rPr>
          <w:rFonts w:ascii="Calibri" w:hAnsi="Calibri" w:cs="Calibri"/>
          <w:sz w:val="22"/>
          <w:szCs w:val="22"/>
        </w:rPr>
      </w:pPr>
      <w:r w:rsidRPr="00D87AE8">
        <w:rPr>
          <w:rFonts w:ascii="Calibri" w:hAnsi="Calibri" w:cs="Calibri"/>
          <w:sz w:val="22"/>
          <w:szCs w:val="22"/>
        </w:rPr>
        <w:t>Uppdaterad 230830: Ersättningsprodukt Faaborg Pharma finns tillgänglig men fortsatt prioritering gäller.</w:t>
      </w:r>
      <w:r w:rsidRPr="00D87AE8" w:rsidR="007E12A1">
        <w:rPr>
          <w:rFonts w:ascii="Calibri" w:hAnsi="Calibri" w:cs="Calibri"/>
          <w:sz w:val="22"/>
          <w:szCs w:val="22"/>
        </w:rPr>
        <w:t xml:space="preserve"> Flödesschemat uppdaterat.</w:t>
      </w:r>
    </w:p>
    <w:p w:rsidR="00EF2B8A" w:rsidP="00760AB1" w14:paraId="4FE1B3DD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760AB1" w:rsidP="00760AB1" w14:paraId="2681C787" w14:textId="20BDFB4E">
      <w:pPr>
        <w:pStyle w:val="Brdtext-RJH"/>
        <w:rPr>
          <w:rFonts w:ascii="Calibri" w:hAnsi="Calibri" w:cs="Calibri"/>
          <w:sz w:val="22"/>
          <w:szCs w:val="22"/>
        </w:rPr>
      </w:pPr>
      <w:r w:rsidRPr="003655C5">
        <w:rPr>
          <w:rFonts w:ascii="Calibri" w:hAnsi="Calibri" w:cs="Calibri"/>
          <w:sz w:val="22"/>
          <w:szCs w:val="22"/>
          <w:lang w:val="sv-SE"/>
        </w:rPr>
        <w:t>Klorhexidinsprit</w:t>
      </w:r>
      <w:r w:rsidRPr="003655C5">
        <w:rPr>
          <w:rFonts w:ascii="Calibri" w:hAnsi="Calibri" w:cs="Calibri"/>
          <w:sz w:val="22"/>
          <w:szCs w:val="22"/>
          <w:lang w:val="sv-SE"/>
        </w:rPr>
        <w:t xml:space="preserve"> ska prioriteras till ingrepp </w:t>
      </w:r>
      <w:r w:rsidRPr="003655C5">
        <w:rPr>
          <w:rFonts w:ascii="Calibri" w:hAnsi="Calibri" w:cs="Calibri"/>
          <w:sz w:val="22"/>
          <w:szCs w:val="22"/>
        </w:rPr>
        <w:t>som medför stor risk för infektion, såsom exempelvis inläggning/omläggning av CVK, CDK, PICC-line, subkutan venport, epiduralkateter, eller andra ingrepp med kvarliggande främmande material, samt på operation (framför allt när det gäller implantatkirurgi).</w:t>
      </w:r>
    </w:p>
    <w:p w:rsidR="0058378B" w:rsidP="00760AB1" w14:paraId="131B554B" w14:textId="1A6F3258">
      <w:pPr>
        <w:pStyle w:val="Brdtext-RJH"/>
        <w:rPr>
          <w:rFonts w:ascii="Calibri" w:hAnsi="Calibri" w:cs="Calibri"/>
          <w:sz w:val="22"/>
          <w:szCs w:val="22"/>
        </w:rPr>
      </w:pPr>
    </w:p>
    <w:p w:rsidR="00EF2B8A" w:rsidRPr="00EF2B8A" w:rsidP="00760AB1" w14:paraId="36EB11DE" w14:textId="392CE4EA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  <w:r w:rsidRPr="00EF2B8A">
        <w:rPr>
          <w:rFonts w:ascii="Calibri" w:hAnsi="Calibri" w:cs="Calibri"/>
          <w:b/>
          <w:bCs/>
          <w:sz w:val="22"/>
          <w:szCs w:val="22"/>
          <w:lang w:val="sv-SE"/>
        </w:rPr>
        <w:t>Ersättningsprodukt finns men prioriteringar behövs</w:t>
      </w:r>
      <w:r w:rsidR="00E562BF">
        <w:rPr>
          <w:rFonts w:ascii="Calibri" w:hAnsi="Calibri" w:cs="Calibri"/>
          <w:b/>
          <w:bCs/>
          <w:sz w:val="22"/>
          <w:szCs w:val="22"/>
          <w:lang w:val="sv-SE"/>
        </w:rPr>
        <w:t xml:space="preserve"> fortsatt</w:t>
      </w:r>
    </w:p>
    <w:p w:rsidR="00760AB1" w:rsidRPr="00D87AE8" w:rsidP="00D87AE8" w14:paraId="743B936F" w14:textId="7BF170DA">
      <w:pPr>
        <w:pStyle w:val="Normal1"/>
        <w:shd w:val="clear" w:color="auto" w:fill="FFFFFF"/>
        <w:spacing w:before="0" w:beforeAutospacing="0" w:after="225" w:afterAutospacing="0" w:line="294" w:lineRule="atLeast"/>
        <w:rPr>
          <w:sz w:val="23"/>
          <w:szCs w:val="23"/>
        </w:rPr>
      </w:pPr>
      <w:r w:rsidRPr="00A748E8">
        <w:rPr>
          <w:rFonts w:ascii="Calibri" w:hAnsi="Calibri" w:eastAsiaTheme="minorHAnsi" w:cs="Calibri"/>
          <w:b/>
          <w:bCs/>
          <w:sz w:val="22"/>
          <w:szCs w:val="22"/>
          <w:lang w:val="la-Latn" w:eastAsia="en-US"/>
        </w:rPr>
        <w:t>Klorhexidinsprit 0,5%</w:t>
      </w:r>
      <w:r w:rsidRPr="00E562BF">
        <w:rPr>
          <w:rFonts w:ascii="Calibri" w:hAnsi="Calibri" w:eastAsiaTheme="minorHAnsi" w:cs="Calibri"/>
          <w:sz w:val="22"/>
          <w:szCs w:val="22"/>
          <w:lang w:val="la-Latn" w:eastAsia="en-US"/>
        </w:rPr>
        <w:t xml:space="preserve"> </w:t>
      </w:r>
      <w:r w:rsidRPr="00B9791F" w:rsidR="001D3E0B">
        <w:rPr>
          <w:rFonts w:ascii="Calibri" w:hAnsi="Calibri" w:eastAsiaTheme="minorHAnsi" w:cs="Calibri"/>
          <w:sz w:val="22"/>
          <w:szCs w:val="22"/>
          <w:lang w:eastAsia="en-US"/>
        </w:rPr>
        <w:t>(5mg/ml)</w:t>
      </w:r>
      <w:r w:rsidR="001D3E0B">
        <w:rPr>
          <w:rFonts w:ascii="Calibri" w:hAnsi="Calibri" w:eastAsiaTheme="minorHAnsi" w:cs="Calibri"/>
          <w:sz w:val="22"/>
          <w:szCs w:val="22"/>
          <w:lang w:eastAsia="en-US"/>
        </w:rPr>
        <w:t xml:space="preserve"> </w:t>
      </w:r>
      <w:r w:rsidRPr="00D87AE8">
        <w:rPr>
          <w:rFonts w:ascii="Calibri" w:hAnsi="Calibri" w:eastAsiaTheme="minorHAnsi" w:cs="Calibri"/>
          <w:b/>
          <w:bCs/>
          <w:sz w:val="22"/>
          <w:szCs w:val="22"/>
          <w:lang w:val="la-Latn" w:eastAsia="en-US"/>
        </w:rPr>
        <w:t>Faaborg Pharma</w:t>
      </w:r>
      <w:r w:rsidRPr="00E562BF">
        <w:rPr>
          <w:rFonts w:ascii="Calibri" w:hAnsi="Calibri" w:eastAsiaTheme="minorHAnsi" w:cs="Calibri"/>
          <w:sz w:val="22"/>
          <w:szCs w:val="22"/>
          <w:lang w:val="la-Latn" w:eastAsia="en-US"/>
        </w:rPr>
        <w:t xml:space="preserve"> är registrerad som biocid i Danmark. Vårdhygien och Läkemedelsenheten har godkänt produkten som ersättning för den restnoterade Klorhexidinspriten. </w:t>
      </w:r>
      <w:r w:rsidRPr="00E562BF">
        <w:rPr>
          <w:rFonts w:ascii="Calibri" w:hAnsi="Calibri" w:eastAsiaTheme="minorHAnsi" w:cs="Calibri"/>
          <w:sz w:val="22"/>
          <w:szCs w:val="22"/>
          <w:lang w:val="la-Latn" w:eastAsia="en-US"/>
        </w:rPr>
        <w:br/>
        <w:t>Flaskorna innehåller 500 ml och beställs via ApoEx:</w:t>
      </w:r>
      <w:r w:rsidR="00CB2383">
        <w:rPr>
          <w:rFonts w:ascii="Calibri" w:hAnsi="Calibri" w:eastAsiaTheme="minorHAnsi" w:cs="Calibri"/>
          <w:sz w:val="22"/>
          <w:szCs w:val="22"/>
          <w:lang w:eastAsia="en-US"/>
        </w:rPr>
        <w:t xml:space="preserve"> </w:t>
      </w:r>
      <w:r w:rsidRPr="00E562BF" w:rsidR="00CB2383">
        <w:rPr>
          <w:rFonts w:ascii="Calibri" w:hAnsi="Calibri" w:eastAsiaTheme="minorHAnsi" w:cs="Calibri"/>
          <w:sz w:val="22"/>
          <w:szCs w:val="22"/>
          <w:lang w:val="la-Latn" w:eastAsia="en-US"/>
        </w:rPr>
        <w:t xml:space="preserve">varunummer </w:t>
      </w:r>
      <w:r w:rsidRPr="00D87AE8" w:rsidR="00CB2383">
        <w:rPr>
          <w:rFonts w:ascii="Calibri" w:hAnsi="Calibri" w:eastAsiaTheme="minorHAnsi" w:cs="Calibri"/>
          <w:sz w:val="22"/>
          <w:szCs w:val="22"/>
          <w:lang w:val="la-Latn" w:eastAsia="en-US"/>
        </w:rPr>
        <w:t>A14984</w:t>
      </w:r>
      <w:r w:rsidRPr="00E562BF">
        <w:rPr>
          <w:rFonts w:ascii="Calibri" w:hAnsi="Calibri" w:eastAsiaTheme="minorHAnsi" w:cs="Calibri"/>
          <w:sz w:val="22"/>
          <w:szCs w:val="22"/>
          <w:lang w:val="la-Latn" w:eastAsia="en-US"/>
        </w:rPr>
        <w:br/>
        <w:t>För de avdelningar som har läkemedelsservice och Klorhexidinsprit i sitt bassortiment kommer Läkemedelsenheten se till att lagret fylls på.</w:t>
      </w:r>
    </w:p>
    <w:p w:rsidR="00760AB1" w:rsidRPr="003655C5" w:rsidP="00760AB1" w14:paraId="2C9405B5" w14:textId="77777777">
      <w:pPr>
        <w:pStyle w:val="Default"/>
        <w:rPr>
          <w:sz w:val="22"/>
          <w:szCs w:val="22"/>
        </w:rPr>
      </w:pPr>
      <w:bookmarkStart w:id="1" w:name="_Hlk142489093"/>
      <w:r w:rsidRPr="00D87AE8">
        <w:rPr>
          <w:b/>
          <w:bCs/>
          <w:sz w:val="22"/>
          <w:szCs w:val="22"/>
        </w:rPr>
        <w:t>Chloraprep</w:t>
      </w:r>
      <w:r w:rsidRPr="00D87AE8">
        <w:rPr>
          <w:b/>
          <w:bCs/>
          <w:sz w:val="22"/>
          <w:szCs w:val="22"/>
        </w:rPr>
        <w:t xml:space="preserve"> </w:t>
      </w:r>
      <w:r w:rsidRPr="00A748E8">
        <w:rPr>
          <w:b/>
          <w:bCs/>
          <w:sz w:val="22"/>
          <w:szCs w:val="22"/>
        </w:rPr>
        <w:t>20 mg/ml</w:t>
      </w:r>
      <w:r w:rsidRPr="003655C5">
        <w:rPr>
          <w:sz w:val="22"/>
          <w:szCs w:val="22"/>
        </w:rPr>
        <w:t xml:space="preserve"> är ett alternativ när långtidseffekt eftersträvas.</w:t>
      </w:r>
      <w:r w:rsidRPr="00D932CA">
        <w:rPr>
          <w:color w:val="FF0000"/>
          <w:sz w:val="22"/>
          <w:szCs w:val="22"/>
        </w:rPr>
        <w:t xml:space="preserve"> </w:t>
      </w:r>
      <w:r w:rsidRPr="0058378B" w:rsidR="00D932CA">
        <w:rPr>
          <w:color w:val="auto"/>
        </w:rPr>
        <w:t>Beställs via marknadsplatsen/</w:t>
      </w:r>
      <w:r w:rsidRPr="0058378B" w:rsidR="00D932CA">
        <w:rPr>
          <w:color w:val="auto"/>
        </w:rPr>
        <w:t>raindance</w:t>
      </w:r>
      <w:r w:rsidRPr="0058378B" w:rsidR="00D932CA">
        <w:rPr>
          <w:color w:val="auto"/>
        </w:rPr>
        <w:t xml:space="preserve">, </w:t>
      </w:r>
      <w:r w:rsidRPr="0058378B" w:rsidR="00D932CA">
        <w:rPr>
          <w:color w:val="auto"/>
        </w:rPr>
        <w:t>ApoEx</w:t>
      </w:r>
      <w:r w:rsidRPr="0058378B" w:rsidR="00D932CA">
        <w:rPr>
          <w:color w:val="auto"/>
        </w:rPr>
        <w:t>.</w:t>
      </w:r>
    </w:p>
    <w:p w:rsidR="00760AB1" w:rsidRPr="003655C5" w:rsidP="00760AB1" w14:paraId="45ABB84F" w14:textId="77777777">
      <w:pPr>
        <w:pStyle w:val="Default"/>
        <w:rPr>
          <w:sz w:val="22"/>
          <w:szCs w:val="22"/>
        </w:rPr>
      </w:pPr>
    </w:p>
    <w:p w:rsidR="00AB7819" w:rsidP="00760AB1" w14:paraId="67CA9A72" w14:textId="5949C433">
      <w:pPr>
        <w:pStyle w:val="Default"/>
        <w:rPr>
          <w:sz w:val="22"/>
          <w:szCs w:val="22"/>
        </w:rPr>
      </w:pPr>
      <w:r w:rsidRPr="00D87AE8">
        <w:rPr>
          <w:b/>
          <w:bCs/>
          <w:sz w:val="22"/>
          <w:szCs w:val="22"/>
        </w:rPr>
        <w:t>M-sprit/</w:t>
      </w:r>
      <w:r w:rsidRPr="00D87AE8" w:rsidR="0070718A">
        <w:rPr>
          <w:b/>
          <w:bCs/>
          <w:sz w:val="22"/>
          <w:szCs w:val="22"/>
        </w:rPr>
        <w:t>Etanol 70 %</w:t>
      </w:r>
      <w:r w:rsidR="00093E25">
        <w:rPr>
          <w:sz w:val="22"/>
          <w:szCs w:val="22"/>
        </w:rPr>
        <w:t xml:space="preserve"> </w:t>
      </w:r>
      <w:r w:rsidRPr="003655C5" w:rsidR="0070718A">
        <w:rPr>
          <w:sz w:val="22"/>
          <w:szCs w:val="22"/>
        </w:rPr>
        <w:t xml:space="preserve">eller annat alkoholbaserat huddesinfektionsmedel med motsvarande effekt är alternativ till </w:t>
      </w:r>
      <w:r w:rsidRPr="003655C5" w:rsidR="0070718A">
        <w:rPr>
          <w:sz w:val="22"/>
          <w:szCs w:val="22"/>
        </w:rPr>
        <w:t>klorhexidinsprit</w:t>
      </w:r>
      <w:r w:rsidRPr="003655C5" w:rsidR="0070718A">
        <w:rPr>
          <w:sz w:val="22"/>
          <w:szCs w:val="22"/>
        </w:rPr>
        <w:t xml:space="preserve">, men saknar den långtidseffekt som uppnås genom </w:t>
      </w:r>
      <w:r w:rsidRPr="003655C5" w:rsidR="0070718A">
        <w:rPr>
          <w:sz w:val="22"/>
          <w:szCs w:val="22"/>
        </w:rPr>
        <w:t>klorhexidintillsatsen</w:t>
      </w:r>
      <w:r w:rsidR="0070718A">
        <w:rPr>
          <w:sz w:val="22"/>
          <w:szCs w:val="22"/>
        </w:rPr>
        <w:t>.</w:t>
      </w:r>
      <w:r w:rsidR="00093E25">
        <w:rPr>
          <w:sz w:val="22"/>
          <w:szCs w:val="22"/>
        </w:rPr>
        <w:t xml:space="preserve"> </w:t>
      </w:r>
    </w:p>
    <w:p w:rsidR="00760AB1" w:rsidP="00760AB1" w14:paraId="6293E8E5" w14:textId="11D01EF2">
      <w:pPr>
        <w:pStyle w:val="Default"/>
        <w:rPr>
          <w:color w:val="auto"/>
          <w:sz w:val="22"/>
          <w:szCs w:val="22"/>
        </w:rPr>
      </w:pPr>
      <w:r w:rsidRPr="00F55CDF">
        <w:rPr>
          <w:color w:val="auto"/>
          <w:sz w:val="22"/>
          <w:szCs w:val="22"/>
        </w:rPr>
        <w:t>M-sprit</w:t>
      </w:r>
      <w:r w:rsidRPr="00F55CDF" w:rsidR="00AB7819">
        <w:rPr>
          <w:color w:val="auto"/>
          <w:sz w:val="22"/>
          <w:szCs w:val="22"/>
        </w:rPr>
        <w:t xml:space="preserve"> </w:t>
      </w:r>
      <w:r w:rsidR="00AB7819">
        <w:rPr>
          <w:sz w:val="22"/>
          <w:szCs w:val="22"/>
        </w:rPr>
        <w:t>rekommenderas framför ren etanol då de</w:t>
      </w:r>
      <w:r w:rsidRPr="0058378B" w:rsidR="00AB7819">
        <w:rPr>
          <w:color w:val="auto"/>
          <w:sz w:val="22"/>
          <w:szCs w:val="22"/>
        </w:rPr>
        <w:t>n inte kräver särskild förvaring/kontroll</w:t>
      </w:r>
      <w:r w:rsidRPr="0058378B">
        <w:rPr>
          <w:color w:val="auto"/>
          <w:sz w:val="22"/>
          <w:szCs w:val="22"/>
        </w:rPr>
        <w:t>.</w:t>
      </w:r>
      <w:r w:rsidRPr="0058378B">
        <w:rPr>
          <w:b/>
          <w:bCs/>
          <w:color w:val="auto"/>
          <w:sz w:val="22"/>
          <w:szCs w:val="22"/>
        </w:rPr>
        <w:t xml:space="preserve"> </w:t>
      </w:r>
      <w:r w:rsidRPr="0058378B" w:rsidR="00D932CA">
        <w:rPr>
          <w:color w:val="auto"/>
          <w:sz w:val="22"/>
          <w:szCs w:val="22"/>
        </w:rPr>
        <w:t>Beställs via marknadsplatsen/</w:t>
      </w:r>
      <w:r w:rsidRPr="0058378B" w:rsidR="00D932CA">
        <w:rPr>
          <w:color w:val="auto"/>
          <w:sz w:val="22"/>
          <w:szCs w:val="22"/>
        </w:rPr>
        <w:t>raindance</w:t>
      </w:r>
      <w:r w:rsidRPr="0058378B" w:rsidR="00D932CA">
        <w:rPr>
          <w:color w:val="auto"/>
          <w:sz w:val="22"/>
          <w:szCs w:val="22"/>
        </w:rPr>
        <w:t xml:space="preserve">, </w:t>
      </w:r>
      <w:r w:rsidRPr="0058378B" w:rsidR="00D932CA">
        <w:rPr>
          <w:color w:val="auto"/>
          <w:sz w:val="22"/>
          <w:szCs w:val="22"/>
        </w:rPr>
        <w:t>ApoEx</w:t>
      </w:r>
      <w:r w:rsidRPr="0058378B" w:rsidR="00D932CA">
        <w:rPr>
          <w:color w:val="auto"/>
          <w:sz w:val="22"/>
          <w:szCs w:val="22"/>
        </w:rPr>
        <w:t>.</w:t>
      </w:r>
    </w:p>
    <w:p w:rsidR="00D87AE8" w:rsidP="00760AB1" w14:paraId="783FDB97" w14:textId="7A83EC43">
      <w:pPr>
        <w:pStyle w:val="Default"/>
        <w:rPr>
          <w:color w:val="auto"/>
          <w:sz w:val="22"/>
          <w:szCs w:val="22"/>
        </w:rPr>
      </w:pPr>
    </w:p>
    <w:p w:rsidR="00D87AE8" w:rsidRPr="003655C5" w:rsidP="00D87AE8" w14:paraId="23CC0F92" w14:textId="77777777">
      <w:pPr>
        <w:pStyle w:val="Default"/>
        <w:rPr>
          <w:sz w:val="22"/>
          <w:szCs w:val="22"/>
        </w:rPr>
      </w:pPr>
      <w:r w:rsidRPr="003655C5">
        <w:rPr>
          <w:sz w:val="22"/>
          <w:szCs w:val="22"/>
        </w:rPr>
        <w:t>Klorhexidinlösning</w:t>
      </w:r>
      <w:r w:rsidRPr="003655C5">
        <w:rPr>
          <w:sz w:val="22"/>
          <w:szCs w:val="22"/>
        </w:rPr>
        <w:t xml:space="preserve"> 0,5, 1,0 respektive 2,0 ersätter </w:t>
      </w:r>
      <w:r w:rsidRPr="003655C5">
        <w:rPr>
          <w:b/>
          <w:bCs/>
          <w:sz w:val="22"/>
          <w:szCs w:val="22"/>
        </w:rPr>
        <w:t xml:space="preserve">inte </w:t>
      </w:r>
      <w:r w:rsidRPr="003655C5">
        <w:rPr>
          <w:sz w:val="22"/>
          <w:szCs w:val="22"/>
        </w:rPr>
        <w:t>klorhexidinsprit</w:t>
      </w:r>
      <w:r w:rsidRPr="003655C5">
        <w:rPr>
          <w:sz w:val="22"/>
          <w:szCs w:val="22"/>
        </w:rPr>
        <w:t xml:space="preserve"> 5 mg/ml för preoperativ huddesinfektion eller motsvarande ingrepp med stor risk för infektion. </w:t>
      </w:r>
    </w:p>
    <w:bookmarkEnd w:id="1"/>
    <w:p w:rsidR="00760AB1" w:rsidP="00760AB1" w14:paraId="2DCA96C2" w14:textId="77777777">
      <w:pPr>
        <w:pStyle w:val="Default"/>
        <w:rPr>
          <w:b/>
          <w:bCs/>
          <w:sz w:val="28"/>
          <w:szCs w:val="28"/>
          <w:lang w:val="la-Latn"/>
        </w:rPr>
      </w:pPr>
    </w:p>
    <w:p w:rsidR="00760AB1" w:rsidP="00760AB1" w14:paraId="50065E8D" w14:textId="741B3E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Prioriteringsordning </w:t>
      </w:r>
    </w:p>
    <w:p w:rsidR="008C0E6E" w:rsidP="00760AB1" w14:paraId="0D37A4A3" w14:textId="4411D1C0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3655C5">
        <w:rPr>
          <w:sz w:val="22"/>
          <w:szCs w:val="22"/>
        </w:rPr>
        <w:t xml:space="preserve">Använd den mängd </w:t>
      </w:r>
      <w:r w:rsidRPr="003655C5">
        <w:rPr>
          <w:sz w:val="22"/>
          <w:szCs w:val="22"/>
        </w:rPr>
        <w:t>klorhexidinsprit</w:t>
      </w:r>
      <w:r w:rsidRPr="00365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Fresenius Kabi/licenspreparat </w:t>
      </w:r>
      <w:r w:rsidRPr="003655C5">
        <w:rPr>
          <w:sz w:val="22"/>
          <w:szCs w:val="22"/>
        </w:rPr>
        <w:t>som finns tillgänglig till inläggning och omläggning av centrala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ven</w:t>
      </w:r>
      <w:r w:rsidRPr="003655C5">
        <w:rPr>
          <w:sz w:val="22"/>
          <w:szCs w:val="22"/>
        </w:rPr>
        <w:t>katetrar</w:t>
      </w:r>
      <w:r w:rsidRPr="003655C5">
        <w:rPr>
          <w:sz w:val="22"/>
          <w:szCs w:val="22"/>
        </w:rPr>
        <w:t xml:space="preserve"> samt till implantatkirurgi (exempelvis ortopediska implantat samt pacemaker). </w:t>
      </w:r>
    </w:p>
    <w:p w:rsidR="00760AB1" w:rsidP="008C0E6E" w14:paraId="1F662B67" w14:textId="3499D971">
      <w:pPr>
        <w:pStyle w:val="Default"/>
        <w:ind w:left="720"/>
        <w:rPr>
          <w:sz w:val="22"/>
          <w:szCs w:val="22"/>
        </w:rPr>
      </w:pPr>
      <w:r w:rsidRPr="003655C5">
        <w:rPr>
          <w:sz w:val="22"/>
          <w:szCs w:val="22"/>
        </w:rPr>
        <w:t xml:space="preserve">Ytterligare ingrepp kan omfattas, respektive </w:t>
      </w:r>
      <w:r w:rsidRPr="003655C5">
        <w:rPr>
          <w:b/>
          <w:bCs/>
          <w:sz w:val="22"/>
          <w:szCs w:val="22"/>
        </w:rPr>
        <w:t>verksamhetschef beslutar</w:t>
      </w:r>
      <w:r w:rsidRPr="003655C5">
        <w:rPr>
          <w:sz w:val="22"/>
          <w:szCs w:val="22"/>
        </w:rPr>
        <w:t xml:space="preserve"> om vilka ingrepp detta gäller. </w:t>
      </w:r>
    </w:p>
    <w:p w:rsidR="00255785" w:rsidP="00255785" w14:paraId="20E368DD" w14:textId="77777777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E562BF">
        <w:rPr>
          <w:color w:val="auto"/>
          <w:sz w:val="22"/>
          <w:szCs w:val="22"/>
          <w:lang w:val="la-Latn"/>
        </w:rPr>
        <w:t xml:space="preserve">Klorhexidinsprit 0,5% ofärgad Faaborg Pharma, 500 ml, varunummer </w:t>
      </w:r>
      <w:r w:rsidRPr="00E562BF">
        <w:rPr>
          <w:b/>
          <w:bCs/>
          <w:color w:val="auto"/>
          <w:sz w:val="22"/>
          <w:szCs w:val="22"/>
          <w:lang w:val="la-Latn"/>
        </w:rPr>
        <w:t>A14984</w:t>
      </w:r>
    </w:p>
    <w:p w:rsidR="00760AB1" w:rsidRPr="00255785" w:rsidP="00255785" w14:paraId="50526759" w14:textId="77876966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55785">
        <w:rPr>
          <w:sz w:val="22"/>
          <w:szCs w:val="22"/>
        </w:rPr>
        <w:t>Chloraprep</w:t>
      </w:r>
      <w:r w:rsidRPr="00255785">
        <w:rPr>
          <w:sz w:val="22"/>
          <w:szCs w:val="22"/>
        </w:rPr>
        <w:t xml:space="preserve"> (se </w:t>
      </w:r>
      <w:r w:rsidRPr="00255785">
        <w:rPr>
          <w:sz w:val="22"/>
          <w:szCs w:val="22"/>
        </w:rPr>
        <w:t>Fass</w:t>
      </w:r>
      <w:r w:rsidRPr="00255785">
        <w:rPr>
          <w:sz w:val="22"/>
          <w:szCs w:val="22"/>
        </w:rPr>
        <w:t xml:space="preserve"> för val av förpackningsstorlek och användningsområde). </w:t>
      </w:r>
      <w:r w:rsidRPr="00255785">
        <w:rPr>
          <w:sz w:val="22"/>
          <w:szCs w:val="22"/>
        </w:rPr>
        <w:t>Chloraprep</w:t>
      </w:r>
      <w:r w:rsidRPr="00255785">
        <w:rPr>
          <w:sz w:val="22"/>
          <w:szCs w:val="22"/>
        </w:rPr>
        <w:t xml:space="preserve"> innehåller </w:t>
      </w:r>
      <w:r w:rsidRPr="00255785">
        <w:rPr>
          <w:sz w:val="22"/>
          <w:szCs w:val="22"/>
        </w:rPr>
        <w:t>klorhexidinglukonat</w:t>
      </w:r>
      <w:r w:rsidRPr="00255785">
        <w:rPr>
          <w:sz w:val="22"/>
          <w:szCs w:val="22"/>
        </w:rPr>
        <w:t xml:space="preserve"> 20 mg/ml och </w:t>
      </w:r>
      <w:r w:rsidRPr="00255785">
        <w:rPr>
          <w:sz w:val="22"/>
          <w:szCs w:val="22"/>
        </w:rPr>
        <w:t>isopropylalkohol</w:t>
      </w:r>
      <w:r w:rsidRPr="00255785" w:rsidR="008530AD">
        <w:rPr>
          <w:sz w:val="22"/>
          <w:szCs w:val="22"/>
        </w:rPr>
        <w:t xml:space="preserve"> (IPA)</w:t>
      </w:r>
      <w:r w:rsidRPr="00255785">
        <w:rPr>
          <w:sz w:val="22"/>
          <w:szCs w:val="22"/>
        </w:rPr>
        <w:t xml:space="preserve"> 0,70 ml/ml och bedöms kunna ersätta </w:t>
      </w:r>
      <w:r w:rsidRPr="00255785">
        <w:rPr>
          <w:sz w:val="22"/>
          <w:szCs w:val="22"/>
        </w:rPr>
        <w:t>klorhexidinsprit</w:t>
      </w:r>
      <w:r w:rsidRPr="00255785">
        <w:rPr>
          <w:sz w:val="22"/>
          <w:szCs w:val="22"/>
        </w:rPr>
        <w:t xml:space="preserve"> 5 mg/ml. </w:t>
      </w:r>
    </w:p>
    <w:p w:rsidR="0070718A" w:rsidP="0070718A" w14:paraId="21A77E18" w14:textId="77777777">
      <w:pPr>
        <w:pStyle w:val="Default"/>
        <w:rPr>
          <w:sz w:val="22"/>
          <w:szCs w:val="22"/>
        </w:rPr>
      </w:pPr>
    </w:p>
    <w:p w:rsidR="00760AB1" w:rsidRPr="003655C5" w:rsidP="0070718A" w14:paraId="16B6D5AF" w14:textId="0B539C7F">
      <w:pPr>
        <w:pStyle w:val="Default"/>
        <w:rPr>
          <w:sz w:val="22"/>
          <w:szCs w:val="22"/>
        </w:rPr>
      </w:pPr>
      <w:r w:rsidRPr="003655C5">
        <w:rPr>
          <w:sz w:val="22"/>
          <w:szCs w:val="22"/>
        </w:rPr>
        <w:t xml:space="preserve">Sträva efter god följsamhet till utförandet av helkroppstvätt med tvål innehållande </w:t>
      </w:r>
      <w:r w:rsidRPr="003655C5">
        <w:rPr>
          <w:sz w:val="22"/>
          <w:szCs w:val="22"/>
        </w:rPr>
        <w:t>klorhexidin</w:t>
      </w:r>
      <w:r w:rsidRPr="003655C5">
        <w:rPr>
          <w:sz w:val="22"/>
          <w:szCs w:val="22"/>
        </w:rPr>
        <w:t xml:space="preserve"> (</w:t>
      </w:r>
      <w:r w:rsidRPr="003655C5">
        <w:rPr>
          <w:sz w:val="22"/>
          <w:szCs w:val="22"/>
        </w:rPr>
        <w:t>Descutan</w:t>
      </w:r>
      <w:r w:rsidRPr="003655C5">
        <w:rPr>
          <w:sz w:val="22"/>
          <w:szCs w:val="22"/>
        </w:rPr>
        <w:t xml:space="preserve"> eller </w:t>
      </w:r>
      <w:r w:rsidRPr="003655C5">
        <w:rPr>
          <w:sz w:val="22"/>
          <w:szCs w:val="22"/>
        </w:rPr>
        <w:t>Hibiscrub</w:t>
      </w:r>
      <w:r w:rsidRPr="003655C5">
        <w:rPr>
          <w:sz w:val="22"/>
          <w:szCs w:val="22"/>
        </w:rPr>
        <w:t xml:space="preserve">) kvällen före och på morgonen samma dag som operativt ingrepp för de ingrepp där det är rekommenderat sedan tidigare. </w:t>
      </w:r>
    </w:p>
    <w:p w:rsidR="00760AB1" w:rsidRPr="003655C5" w:rsidP="00760AB1" w14:paraId="7F3061E7" w14:textId="77777777">
      <w:pPr>
        <w:pStyle w:val="Default"/>
        <w:ind w:left="720"/>
        <w:rPr>
          <w:sz w:val="22"/>
          <w:szCs w:val="22"/>
        </w:rPr>
      </w:pPr>
    </w:p>
    <w:p w:rsidR="00760AB1" w:rsidRPr="003655C5" w:rsidP="00760AB1" w14:paraId="7E28D81F" w14:textId="1A3FF071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58378B">
        <w:rPr>
          <w:color w:val="auto"/>
          <w:sz w:val="22"/>
          <w:szCs w:val="22"/>
        </w:rPr>
        <w:t>M</w:t>
      </w:r>
      <w:r w:rsidR="00255785">
        <w:rPr>
          <w:color w:val="auto"/>
          <w:sz w:val="22"/>
          <w:szCs w:val="22"/>
        </w:rPr>
        <w:t>-</w:t>
      </w:r>
      <w:r w:rsidRPr="0058378B">
        <w:rPr>
          <w:color w:val="auto"/>
          <w:sz w:val="22"/>
          <w:szCs w:val="22"/>
        </w:rPr>
        <w:t xml:space="preserve">sprit (eller </w:t>
      </w:r>
      <w:r w:rsidRPr="003655C5" w:rsidR="007D5B30">
        <w:rPr>
          <w:sz w:val="22"/>
          <w:szCs w:val="22"/>
        </w:rPr>
        <w:t>Etanol 70%</w:t>
      </w:r>
      <w:r>
        <w:rPr>
          <w:sz w:val="22"/>
          <w:szCs w:val="22"/>
        </w:rPr>
        <w:t>)</w:t>
      </w:r>
      <w:r w:rsidRPr="003655C5" w:rsidR="007D5B30">
        <w:rPr>
          <w:sz w:val="22"/>
          <w:szCs w:val="22"/>
        </w:rPr>
        <w:t xml:space="preserve"> alternativt injektionstork sprit 70% IPA </w:t>
      </w:r>
      <w:r w:rsidR="0058378B">
        <w:rPr>
          <w:sz w:val="22"/>
          <w:szCs w:val="22"/>
        </w:rPr>
        <w:t>kan</w:t>
      </w:r>
      <w:r w:rsidRPr="003655C5" w:rsidR="007D5B30">
        <w:rPr>
          <w:sz w:val="22"/>
          <w:szCs w:val="22"/>
        </w:rPr>
        <w:t xml:space="preserve"> användas vid venprovtagning. </w:t>
      </w:r>
    </w:p>
    <w:p w:rsidR="00760AB1" w:rsidRPr="003655C5" w:rsidP="00760AB1" w14:paraId="7FF80B2E" w14:textId="77777777">
      <w:pPr>
        <w:pStyle w:val="Default"/>
        <w:ind w:left="720"/>
        <w:rPr>
          <w:sz w:val="22"/>
          <w:szCs w:val="22"/>
        </w:rPr>
      </w:pPr>
    </w:p>
    <w:p w:rsidR="00760AB1" w:rsidP="00195DEC" w14:paraId="31137CEF" w14:textId="010C88AD">
      <w:pPr>
        <w:pStyle w:val="Default"/>
        <w:numPr>
          <w:ilvl w:val="0"/>
          <w:numId w:val="22"/>
        </w:numPr>
      </w:pPr>
      <w:r w:rsidRPr="0076549C">
        <w:rPr>
          <w:color w:val="auto"/>
          <w:sz w:val="22"/>
          <w:szCs w:val="22"/>
        </w:rPr>
        <w:t>M</w:t>
      </w:r>
      <w:r w:rsidRPr="0076549C" w:rsidR="00255785">
        <w:rPr>
          <w:color w:val="auto"/>
          <w:sz w:val="22"/>
          <w:szCs w:val="22"/>
        </w:rPr>
        <w:t>-</w:t>
      </w:r>
      <w:r w:rsidRPr="0076549C">
        <w:rPr>
          <w:color w:val="auto"/>
          <w:sz w:val="22"/>
          <w:szCs w:val="22"/>
        </w:rPr>
        <w:t xml:space="preserve">sprit (eller </w:t>
      </w:r>
      <w:r w:rsidRPr="0076549C" w:rsidR="007D5B30">
        <w:rPr>
          <w:sz w:val="22"/>
          <w:szCs w:val="22"/>
        </w:rPr>
        <w:t>Etanol 70%</w:t>
      </w:r>
      <w:r w:rsidRPr="0076549C">
        <w:rPr>
          <w:sz w:val="22"/>
          <w:szCs w:val="22"/>
        </w:rPr>
        <w:t>)</w:t>
      </w:r>
      <w:r w:rsidRPr="0076549C" w:rsidR="007D5B30">
        <w:rPr>
          <w:sz w:val="22"/>
          <w:szCs w:val="22"/>
        </w:rPr>
        <w:t xml:space="preserve"> kan även användas vid inläggning av PVK under förutsättning att man gör daglig inspektion och att liggtiden är längst 72 timmar.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4082"/>
      </w:tblGrid>
      <w:tr w14:paraId="380464A1" w14:textId="77777777" w:rsidTr="00812B5D">
        <w:tblPrEx>
          <w:tblW w:w="5000" w:type="pct"/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B5D" w:rsidRPr="00812B5D" w:rsidP="0070718A" w14:paraId="3E71C980" w14:textId="7739106C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2B5D" w:rsidRPr="00812B5D" w:rsidP="00812B5D" w14:paraId="2E4C1668" w14:textId="76F315F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</w:tbl>
    <w:p w:rsidR="00B61B37" w:rsidP="0076549C" w14:paraId="0E0E0E95" w14:textId="7BF8D114">
      <w:pPr>
        <w:rPr>
          <w:rFonts w:ascii="Calibri" w:hAnsi="Calibri" w:cs="Calibri"/>
          <w:b/>
          <w:bCs/>
          <w:sz w:val="28"/>
          <w:szCs w:val="28"/>
        </w:rPr>
      </w:pPr>
      <w:r w:rsidRPr="003655C5">
        <w:rPr>
          <w:rFonts w:ascii="Calibri" w:hAnsi="Calibri" w:cs="Calibri"/>
          <w:b/>
          <w:bCs/>
          <w:sz w:val="28"/>
          <w:szCs w:val="28"/>
        </w:rPr>
        <w:t xml:space="preserve">Flödesschema vid brist/begränsad tillgång till </w:t>
      </w:r>
      <w:r w:rsidRPr="0070718A">
        <w:rPr>
          <w:rFonts w:ascii="Calibri" w:hAnsi="Calibri" w:cs="Calibri"/>
          <w:b/>
          <w:bCs/>
          <w:sz w:val="28"/>
          <w:szCs w:val="28"/>
        </w:rPr>
        <w:t>Klorhexidinsprit</w:t>
      </w:r>
    </w:p>
    <w:p w:rsidR="00D723E7" w:rsidP="0076549C" w14:paraId="1379F217" w14:textId="36A31805">
      <w:pPr>
        <w:rPr>
          <w:rFonts w:ascii="Calibri" w:hAnsi="Calibri" w:cs="Calibri"/>
          <w:b/>
          <w:bCs/>
          <w:sz w:val="28"/>
          <w:szCs w:val="28"/>
        </w:rPr>
      </w:pPr>
    </w:p>
    <w:p w:rsidR="00D723E7" w:rsidP="0076549C" w14:paraId="385294A2" w14:textId="7105DBE1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-3023</wp:posOffset>
            </wp:positionH>
            <wp:positionV relativeFrom="paragraph">
              <wp:posOffset>-2464</wp:posOffset>
            </wp:positionV>
            <wp:extent cx="3661181" cy="1325733"/>
            <wp:effectExtent l="0" t="0" r="0" b="8255"/>
            <wp:wrapSquare wrapText="bothSides"/>
            <wp:docPr id="2" name="Bildobjekt 2" descr="En bild som visar text, skärmbild, logotyp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skärmbild, logotyp, Teckensnitt&#10;&#10;Automatiskt genererad beskrivni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81" cy="132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3E7" w:rsidP="0076549C" w14:paraId="17BA5DC0" w14:textId="77777777">
      <w:pPr>
        <w:rPr>
          <w:rFonts w:ascii="Calibri" w:hAnsi="Calibri" w:cs="Calibri"/>
          <w:b/>
          <w:bCs/>
          <w:sz w:val="28"/>
          <w:szCs w:val="28"/>
        </w:rPr>
      </w:pPr>
    </w:p>
    <w:p w:rsidR="00B3443E" w:rsidP="00B61B37" w14:paraId="3F267EC4" w14:textId="6BA6402E">
      <w:pPr>
        <w:spacing w:after="230"/>
        <w:ind w:right="119"/>
      </w:pPr>
      <w:r>
        <w:rPr>
          <w:noProof/>
        </w:rPr>
        <w:drawing>
          <wp:inline distT="0" distB="0" distL="0" distR="0">
            <wp:extent cx="3759439" cy="3553344"/>
            <wp:effectExtent l="0" t="0" r="0" b="9525"/>
            <wp:docPr id="1400508977" name="Bildobjekt 1" descr="En bild som visar text, skärmbild, Teckensnitt, visitk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508977" name="Bildobjekt 1" descr="En bild som visar text, skärmbild, Teckensnitt, visitkort&#10;&#10;Automatiskt genererad beskrivni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793" cy="356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8A" w:rsidP="00D508D1" w14:paraId="6633AFA7" w14:textId="75FE784C">
      <w:pPr>
        <w:pStyle w:val="Heading1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Pr="003655C5">
        <w:rPr>
          <w:rFonts w:ascii="Calibri" w:hAnsi="Calibri" w:cs="Calibri"/>
          <w:b/>
          <w:bCs/>
          <w:sz w:val="28"/>
          <w:szCs w:val="28"/>
        </w:rPr>
        <w:t xml:space="preserve">Hållbarhet </w:t>
      </w:r>
      <w:r w:rsidRPr="003655C5">
        <w:rPr>
          <w:rFonts w:ascii="Calibri" w:hAnsi="Calibri" w:cs="Calibri"/>
          <w:b/>
          <w:bCs/>
          <w:sz w:val="28"/>
          <w:szCs w:val="28"/>
        </w:rPr>
        <w:t>klorhexidinsprit</w:t>
      </w:r>
      <w:r w:rsidRPr="003655C5">
        <w:rPr>
          <w:rFonts w:ascii="Calibri" w:hAnsi="Calibri" w:cs="Calibri"/>
          <w:b/>
          <w:bCs/>
          <w:sz w:val="28"/>
          <w:szCs w:val="28"/>
        </w:rPr>
        <w:t xml:space="preserve"> 5 mg/ml</w:t>
      </w:r>
      <w:r w:rsidR="00D508D1">
        <w:rPr>
          <w:rFonts w:ascii="Calibri" w:hAnsi="Calibri" w:cs="Calibri"/>
          <w:b/>
          <w:bCs/>
          <w:sz w:val="28"/>
          <w:szCs w:val="28"/>
        </w:rPr>
        <w:br/>
      </w:r>
      <w:r w:rsidRPr="003655C5">
        <w:rPr>
          <w:rFonts w:ascii="Calibri" w:hAnsi="Calibri" w:cs="Calibri"/>
          <w:sz w:val="22"/>
        </w:rPr>
        <w:t xml:space="preserve">Öppnad förpackning är </w:t>
      </w:r>
      <w:r w:rsidR="00D508D1">
        <w:rPr>
          <w:rFonts w:ascii="Calibri" w:hAnsi="Calibri" w:cs="Calibri"/>
          <w:sz w:val="22"/>
        </w:rPr>
        <w:t xml:space="preserve">generellt </w:t>
      </w:r>
      <w:r w:rsidRPr="003655C5">
        <w:rPr>
          <w:rFonts w:ascii="Calibri" w:hAnsi="Calibri" w:cs="Calibri"/>
          <w:sz w:val="22"/>
        </w:rPr>
        <w:t xml:space="preserve">hållbar 1 månad från öppningsdatum. </w:t>
      </w:r>
      <w:r w:rsidR="00D508D1">
        <w:rPr>
          <w:rFonts w:ascii="Calibri" w:hAnsi="Calibri" w:cs="Calibri"/>
          <w:sz w:val="22"/>
        </w:rPr>
        <w:br/>
      </w:r>
      <w:r w:rsidR="00BB12AE">
        <w:rPr>
          <w:rFonts w:ascii="Calibri" w:hAnsi="Calibri" w:cs="Calibri"/>
          <w:sz w:val="22"/>
        </w:rPr>
        <w:t>Enligt</w:t>
      </w:r>
      <w:r w:rsidR="00D508D1">
        <w:rPr>
          <w:rFonts w:ascii="Calibri" w:hAnsi="Calibri" w:cs="Calibri"/>
          <w:sz w:val="22"/>
        </w:rPr>
        <w:t xml:space="preserve"> Fresenius Kabi kan v</w:t>
      </w:r>
      <w:r w:rsidRPr="003655C5">
        <w:rPr>
          <w:rFonts w:ascii="Calibri" w:hAnsi="Calibri" w:cs="Calibri"/>
          <w:sz w:val="22"/>
        </w:rPr>
        <w:t xml:space="preserve">erksamhetschef ta beslut om </w:t>
      </w:r>
      <w:r w:rsidR="00D508D1">
        <w:rPr>
          <w:rFonts w:ascii="Calibri" w:hAnsi="Calibri" w:cs="Calibri"/>
          <w:sz w:val="22"/>
        </w:rPr>
        <w:t xml:space="preserve">att förlänga </w:t>
      </w:r>
      <w:r w:rsidRPr="003655C5">
        <w:rPr>
          <w:rFonts w:ascii="Calibri" w:hAnsi="Calibri" w:cs="Calibri"/>
          <w:sz w:val="22"/>
        </w:rPr>
        <w:t>hållbarhet</w:t>
      </w:r>
      <w:r w:rsidR="00D508D1">
        <w:rPr>
          <w:rFonts w:ascii="Calibri" w:hAnsi="Calibri" w:cs="Calibri"/>
          <w:sz w:val="22"/>
        </w:rPr>
        <w:t>en</w:t>
      </w:r>
      <w:r w:rsidRPr="003655C5">
        <w:rPr>
          <w:rFonts w:ascii="Calibri" w:hAnsi="Calibri" w:cs="Calibri"/>
          <w:sz w:val="22"/>
        </w:rPr>
        <w:t xml:space="preserve"> upp till 3 månader från öppningsdatum.</w:t>
      </w:r>
      <w:r w:rsidR="00D508D1">
        <w:rPr>
          <w:rFonts w:ascii="Calibri" w:hAnsi="Calibri" w:cs="Calibri"/>
          <w:sz w:val="22"/>
        </w:rPr>
        <w:t xml:space="preserve"> </w:t>
      </w:r>
      <w:r w:rsidRPr="0058378B">
        <w:rPr>
          <w:rFonts w:ascii="Calibri" w:hAnsi="Calibri" w:cs="Calibri"/>
          <w:sz w:val="22"/>
        </w:rPr>
        <w:t xml:space="preserve">Vid förlängning av hållbarhet bör </w:t>
      </w:r>
      <w:r w:rsidR="00D508D1">
        <w:rPr>
          <w:rFonts w:ascii="Calibri" w:hAnsi="Calibri" w:cs="Calibri"/>
          <w:sz w:val="22"/>
        </w:rPr>
        <w:t>risk för kontamination av innehållet bedömas. P</w:t>
      </w:r>
      <w:r w:rsidRPr="0058378B">
        <w:rPr>
          <w:rFonts w:ascii="Calibri" w:hAnsi="Calibri" w:cs="Calibri"/>
          <w:sz w:val="22"/>
        </w:rPr>
        <w:t xml:space="preserve">ump </w:t>
      </w:r>
      <w:r w:rsidR="00D508D1">
        <w:rPr>
          <w:rFonts w:ascii="Calibri" w:hAnsi="Calibri" w:cs="Calibri"/>
          <w:sz w:val="22"/>
        </w:rPr>
        <w:t>bör då sättas</w:t>
      </w:r>
      <w:r w:rsidRPr="0058378B">
        <w:rPr>
          <w:rFonts w:ascii="Calibri" w:hAnsi="Calibri" w:cs="Calibri"/>
          <w:sz w:val="22"/>
        </w:rPr>
        <w:t xml:space="preserve"> på flaskan</w:t>
      </w:r>
      <w:r w:rsidR="00BB12AE">
        <w:rPr>
          <w:rFonts w:ascii="Calibri" w:hAnsi="Calibri" w:cs="Calibri"/>
          <w:sz w:val="22"/>
        </w:rPr>
        <w:t xml:space="preserve"> samt</w:t>
      </w:r>
      <w:r w:rsidRPr="0058378B">
        <w:rPr>
          <w:rFonts w:ascii="Calibri" w:hAnsi="Calibri" w:cs="Calibri"/>
          <w:sz w:val="22"/>
        </w:rPr>
        <w:t xml:space="preserve"> </w:t>
      </w:r>
      <w:r w:rsidR="00BB12AE">
        <w:rPr>
          <w:rFonts w:ascii="Calibri" w:hAnsi="Calibri" w:cs="Calibri"/>
          <w:sz w:val="22"/>
        </w:rPr>
        <w:t xml:space="preserve">ett aseptiskt arbetssätt tillämpas </w:t>
      </w:r>
      <w:r w:rsidRPr="0058378B">
        <w:rPr>
          <w:rFonts w:ascii="Calibri" w:hAnsi="Calibri" w:cs="Calibri"/>
          <w:sz w:val="22"/>
        </w:rPr>
        <w:t>för att minska risken för kontamination.</w:t>
      </w:r>
      <w:r>
        <w:rPr>
          <w:rFonts w:ascii="Calibri" w:hAnsi="Calibri" w:cs="Calibri"/>
          <w:sz w:val="22"/>
        </w:rPr>
        <w:t xml:space="preserve"> </w:t>
      </w:r>
      <w:r w:rsidR="00FA4F3C">
        <w:rPr>
          <w:rFonts w:ascii="Calibri" w:hAnsi="Calibri" w:cs="Calibri"/>
          <w:sz w:val="22"/>
        </w:rPr>
        <w:t>Viktigt att märka flaskan med aktuellt hållbarhetsdatum.</w:t>
      </w:r>
      <w:r w:rsidR="00D508D1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 xml:space="preserve">Pump finns att beställa till 250ml och 1000ml flaskor via </w:t>
      </w:r>
      <w:r>
        <w:rPr>
          <w:rFonts w:ascii="Calibri" w:hAnsi="Calibri" w:cs="Calibri"/>
          <w:sz w:val="22"/>
        </w:rPr>
        <w:t>ApoEx</w:t>
      </w:r>
      <w:r>
        <w:rPr>
          <w:rFonts w:ascii="Calibri" w:hAnsi="Calibri" w:cs="Calibri"/>
          <w:sz w:val="22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4"/>
      </w:tblGrid>
      <w:tr w14:paraId="141CF806" w14:textId="77777777" w:rsidTr="001D150A">
        <w:tblPrEx>
          <w:tblW w:w="5000" w:type="pct"/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718A" w:rsidRPr="00812B5D" w:rsidP="001D150A" w14:paraId="67E69632" w14:textId="7666CAA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</w:tbl>
    <w:p w:rsidR="001D3E0B" w:rsidRPr="00F66055" w:rsidP="00760AB1" w14:paraId="260773B8" w14:textId="77777777">
      <w:pPr>
        <w:pStyle w:val="Default"/>
        <w:rPr>
          <w:rFonts w:eastAsiaTheme="majorEastAsia"/>
          <w:b/>
          <w:bCs/>
          <w:color w:val="auto"/>
          <w:sz w:val="28"/>
          <w:szCs w:val="28"/>
        </w:rPr>
      </w:pPr>
      <w:r w:rsidRPr="00F66055">
        <w:rPr>
          <w:rFonts w:eastAsiaTheme="majorEastAsia"/>
          <w:b/>
          <w:bCs/>
          <w:color w:val="auto"/>
          <w:sz w:val="28"/>
          <w:szCs w:val="28"/>
        </w:rPr>
        <w:t xml:space="preserve">Sammanfattning </w:t>
      </w:r>
    </w:p>
    <w:p w:rsidR="001D3E0B" w:rsidRPr="00F66055" w:rsidP="00760AB1" w14:paraId="53D05D2C" w14:textId="77777777">
      <w:pPr>
        <w:pStyle w:val="Default"/>
        <w:rPr>
          <w:color w:val="auto"/>
          <w:sz w:val="22"/>
          <w:szCs w:val="22"/>
        </w:rPr>
      </w:pPr>
      <w:r w:rsidRPr="00F66055">
        <w:rPr>
          <w:rFonts w:ascii="Symbol" w:hAnsi="Symbol"/>
          <w:color w:val="auto"/>
          <w:sz w:val="22"/>
          <w:szCs w:val="22"/>
        </w:rPr>
        <w:sym w:font="Symbol" w:char="F0B7"/>
      </w:r>
      <w:r w:rsidRPr="00F66055">
        <w:rPr>
          <w:color w:val="auto"/>
          <w:sz w:val="22"/>
          <w:szCs w:val="22"/>
        </w:rPr>
        <w:t xml:space="preserve"> Följ flödesschema.</w:t>
      </w:r>
    </w:p>
    <w:p w:rsidR="001D3E0B" w:rsidRPr="00F66055" w:rsidP="00760AB1" w14:paraId="5035F47A" w14:textId="7D79C37A">
      <w:pPr>
        <w:pStyle w:val="Default"/>
        <w:rPr>
          <w:color w:val="auto"/>
          <w:sz w:val="22"/>
          <w:szCs w:val="22"/>
        </w:rPr>
      </w:pPr>
      <w:r w:rsidRPr="00F66055">
        <w:rPr>
          <w:rFonts w:ascii="Symbol" w:hAnsi="Symbol"/>
          <w:color w:val="auto"/>
          <w:sz w:val="22"/>
          <w:szCs w:val="22"/>
        </w:rPr>
        <w:sym w:font="Symbol" w:char="F0B7"/>
      </w:r>
      <w:r w:rsidRPr="00F66055">
        <w:rPr>
          <w:color w:val="auto"/>
          <w:sz w:val="22"/>
          <w:szCs w:val="22"/>
        </w:rPr>
        <w:t xml:space="preserve"> Verksamhetschef beslutar om vilka ingrepp där </w:t>
      </w:r>
      <w:r w:rsidRPr="00F66055">
        <w:rPr>
          <w:color w:val="auto"/>
          <w:sz w:val="22"/>
          <w:szCs w:val="22"/>
        </w:rPr>
        <w:t>klorhexidinsprit</w:t>
      </w:r>
      <w:r w:rsidRPr="00F66055">
        <w:rPr>
          <w:color w:val="auto"/>
          <w:sz w:val="22"/>
          <w:szCs w:val="22"/>
        </w:rPr>
        <w:t xml:space="preserve"> 5 mg/ml </w:t>
      </w:r>
      <w:r w:rsidR="00D508D1">
        <w:rPr>
          <w:color w:val="auto"/>
          <w:sz w:val="22"/>
          <w:szCs w:val="22"/>
        </w:rPr>
        <w:t xml:space="preserve">Fresenius </w:t>
      </w:r>
      <w:r w:rsidRPr="00D508D1">
        <w:rPr>
          <w:color w:val="auto"/>
          <w:sz w:val="22"/>
          <w:szCs w:val="22"/>
        </w:rPr>
        <w:t>Ka</w:t>
      </w:r>
      <w:r w:rsidR="00D508D1">
        <w:rPr>
          <w:color w:val="auto"/>
          <w:sz w:val="22"/>
          <w:szCs w:val="22"/>
        </w:rPr>
        <w:t>bi/licensprodukter</w:t>
      </w:r>
      <w:r w:rsidRPr="00F66055">
        <w:rPr>
          <w:color w:val="auto"/>
          <w:sz w:val="22"/>
          <w:szCs w:val="22"/>
        </w:rPr>
        <w:t xml:space="preserve"> ska användas</w:t>
      </w:r>
      <w:r w:rsidR="00BB12AE">
        <w:rPr>
          <w:color w:val="auto"/>
          <w:sz w:val="22"/>
          <w:szCs w:val="22"/>
        </w:rPr>
        <w:t xml:space="preserve"> samt eventuellt f</w:t>
      </w:r>
      <w:r w:rsidRPr="00F66055">
        <w:rPr>
          <w:color w:val="auto"/>
          <w:sz w:val="22"/>
          <w:szCs w:val="22"/>
        </w:rPr>
        <w:t xml:space="preserve">örlängd hållbarhet av öppnad </w:t>
      </w:r>
      <w:r w:rsidR="00BB12AE">
        <w:rPr>
          <w:color w:val="auto"/>
          <w:sz w:val="22"/>
          <w:szCs w:val="22"/>
        </w:rPr>
        <w:t>förpackning, gäller Fresenius Kabi</w:t>
      </w:r>
      <w:r w:rsidRPr="00F66055">
        <w:rPr>
          <w:color w:val="auto"/>
          <w:sz w:val="22"/>
          <w:szCs w:val="22"/>
        </w:rPr>
        <w:t xml:space="preserve">. </w:t>
      </w:r>
    </w:p>
    <w:p w:rsidR="001D3E0B" w:rsidRPr="00F66055" w:rsidP="00760AB1" w14:paraId="71E02E31" w14:textId="547E7E8B">
      <w:pPr>
        <w:pStyle w:val="Default"/>
        <w:rPr>
          <w:color w:val="auto"/>
          <w:sz w:val="22"/>
          <w:szCs w:val="22"/>
        </w:rPr>
      </w:pPr>
      <w:r w:rsidRPr="00F66055">
        <w:rPr>
          <w:rFonts w:ascii="Symbol" w:hAnsi="Symbol"/>
          <w:color w:val="auto"/>
          <w:sz w:val="22"/>
          <w:szCs w:val="22"/>
        </w:rPr>
        <w:sym w:font="Symbol" w:char="F0B7"/>
      </w:r>
      <w:r w:rsidRPr="00F66055">
        <w:rPr>
          <w:color w:val="auto"/>
          <w:sz w:val="22"/>
          <w:szCs w:val="22"/>
        </w:rPr>
        <w:t xml:space="preserve"> Sparsamhet men när </w:t>
      </w:r>
      <w:r w:rsidRPr="00F66055">
        <w:rPr>
          <w:color w:val="auto"/>
          <w:sz w:val="22"/>
          <w:szCs w:val="22"/>
        </w:rPr>
        <w:t>klorhexidinsprit</w:t>
      </w:r>
      <w:r w:rsidRPr="00F66055">
        <w:rPr>
          <w:color w:val="auto"/>
          <w:sz w:val="22"/>
          <w:szCs w:val="22"/>
        </w:rPr>
        <w:t xml:space="preserve"> används ska det göras enligt Vårdhandbokens instruktion. Undvik dock onödigt slöseri. </w:t>
      </w:r>
    </w:p>
    <w:p w:rsidR="001D3E0B" w:rsidRPr="00F66055" w:rsidP="00760AB1" w14:paraId="7F08AF28" w14:textId="334D8848">
      <w:pPr>
        <w:pStyle w:val="Default"/>
        <w:rPr>
          <w:color w:val="auto"/>
          <w:sz w:val="22"/>
          <w:szCs w:val="22"/>
        </w:rPr>
      </w:pPr>
      <w:r w:rsidRPr="00F66055">
        <w:rPr>
          <w:rFonts w:ascii="Symbol" w:hAnsi="Symbol"/>
          <w:color w:val="auto"/>
          <w:sz w:val="22"/>
          <w:szCs w:val="22"/>
        </w:rPr>
        <w:sym w:font="Symbol" w:char="F0B7"/>
      </w:r>
      <w:r w:rsidRPr="00F66055">
        <w:rPr>
          <w:color w:val="auto"/>
          <w:sz w:val="22"/>
          <w:szCs w:val="22"/>
        </w:rPr>
        <w:t xml:space="preserve"> Skapa rutin för dokumentation vid avsteg, gäller </w:t>
      </w:r>
      <w:r w:rsidRPr="00F66055" w:rsidR="00B95394">
        <w:rPr>
          <w:color w:val="auto"/>
          <w:sz w:val="22"/>
          <w:szCs w:val="22"/>
        </w:rPr>
        <w:t>f</w:t>
      </w:r>
      <w:r w:rsidR="00B95394">
        <w:rPr>
          <w:color w:val="auto"/>
          <w:sz w:val="22"/>
          <w:szCs w:val="22"/>
        </w:rPr>
        <w:t>ramför allt</w:t>
      </w:r>
      <w:r w:rsidRPr="00F66055">
        <w:rPr>
          <w:color w:val="auto"/>
          <w:sz w:val="22"/>
          <w:szCs w:val="22"/>
        </w:rPr>
        <w:t xml:space="preserve"> för ingrepp med stor risk för infektion.</w:t>
      </w:r>
    </w:p>
    <w:p w:rsidR="001D3E0B" w:rsidP="00760AB1" w14:paraId="7A8E2DA0" w14:textId="77777777">
      <w:pPr>
        <w:pStyle w:val="Default"/>
        <w:rPr>
          <w:sz w:val="22"/>
          <w:szCs w:val="22"/>
        </w:rPr>
      </w:pPr>
    </w:p>
    <w:p w:rsidR="00760AB1" w:rsidP="00760AB1" w14:paraId="055D697F" w14:textId="0B34903D">
      <w:pPr>
        <w:pStyle w:val="Default"/>
        <w:rPr>
          <w:sz w:val="22"/>
          <w:szCs w:val="22"/>
        </w:rPr>
      </w:pPr>
      <w:r w:rsidRPr="00275F75">
        <w:rPr>
          <w:sz w:val="22"/>
          <w:szCs w:val="22"/>
        </w:rPr>
        <w:t xml:space="preserve">Se Vårdhandbokens avsnitt: </w:t>
      </w:r>
      <w:hyperlink r:id="rId7" w:history="1">
        <w:r w:rsidRPr="00275F75">
          <w:rPr>
            <w:rStyle w:val="Hyperlink"/>
            <w:sz w:val="22"/>
            <w:szCs w:val="22"/>
          </w:rPr>
          <w:t>”Ingrepp med liten risk för infektion”</w:t>
        </w:r>
      </w:hyperlink>
      <w:r w:rsidRPr="00275F75">
        <w:rPr>
          <w:sz w:val="22"/>
          <w:szCs w:val="22"/>
        </w:rPr>
        <w:t xml:space="preserve">, </w:t>
      </w:r>
      <w:hyperlink r:id="rId8" w:history="1">
        <w:r w:rsidRPr="00275F75">
          <w:rPr>
            <w:rStyle w:val="Hyperlink"/>
            <w:sz w:val="22"/>
            <w:szCs w:val="22"/>
          </w:rPr>
          <w:t>”Ingrepp med stor risk för infektion”</w:t>
        </w:r>
      </w:hyperlink>
      <w:r w:rsidRPr="00275F75">
        <w:rPr>
          <w:sz w:val="22"/>
          <w:szCs w:val="22"/>
        </w:rPr>
        <w:t xml:space="preserve">, </w:t>
      </w:r>
      <w:hyperlink r:id="rId9" w:history="1">
        <w:r w:rsidRPr="00275F75">
          <w:rPr>
            <w:rStyle w:val="Hyperlink"/>
            <w:sz w:val="22"/>
            <w:szCs w:val="22"/>
          </w:rPr>
          <w:t>”Vid prov för blododling”</w:t>
        </w:r>
      </w:hyperlink>
      <w:r w:rsidRPr="00275F75">
        <w:rPr>
          <w:sz w:val="22"/>
          <w:szCs w:val="22"/>
        </w:rPr>
        <w:t xml:space="preserve">, </w:t>
      </w:r>
      <w:hyperlink r:id="rId10" w:history="1">
        <w:r w:rsidRPr="00275F75">
          <w:rPr>
            <w:rStyle w:val="Hyperlink"/>
            <w:sz w:val="22"/>
            <w:szCs w:val="22"/>
          </w:rPr>
          <w:t>”Peroperativ vård”</w:t>
        </w:r>
      </w:hyperlink>
      <w:r w:rsidRPr="00275F75">
        <w:rPr>
          <w:sz w:val="22"/>
          <w:szCs w:val="22"/>
        </w:rPr>
        <w:t>.</w:t>
      </w:r>
    </w:p>
    <w:p w:rsidR="00760AB1" w:rsidP="00760AB1" w14:paraId="6BA4D48C" w14:textId="77777777">
      <w:pPr>
        <w:pStyle w:val="Default"/>
        <w:rPr>
          <w:sz w:val="22"/>
          <w:szCs w:val="22"/>
        </w:rPr>
      </w:pPr>
    </w:p>
    <w:p w:rsidR="00760AB1" w:rsidP="00760AB1" w14:paraId="5FF738D2" w14:textId="77777777">
      <w:pPr>
        <w:pStyle w:val="Default"/>
      </w:pPr>
    </w:p>
    <w:bookmarkEnd w:id="0"/>
    <w:p w:rsidR="00F45001" w:rsidRPr="00E61872" w:rsidP="00F45001" w14:paraId="2A4BB5E5" w14:textId="77777777">
      <w:pPr>
        <w:pStyle w:val="Brdtext-RJH"/>
      </w:pPr>
    </w:p>
    <w:sectPr w:rsidSect="00001224">
      <w:headerReference w:type="default" r:id="rId11"/>
      <w:footerReference w:type="default" r:id="rId12"/>
      <w:headerReference w:type="first" r:id="rId13"/>
      <w:type w:val="continuous"/>
      <w:pgSz w:w="11906" w:h="16838"/>
      <w:pgMar w:top="391" w:right="1871" w:bottom="1701" w:left="1871" w:header="45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07CE3821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769FB0E8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6752B48E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6AE5AA96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4BBC9B3D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0D4BF26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="00B95394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359E230B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0EB3327E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="00B95394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BA4C8EB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="00B95394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2023-09-20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11036203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1D9C5206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49D3B88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63773B1A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32F56B46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7023449C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140C11A8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2E0E0C9C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Ersättning vid brist på klorhexidinsprit 5mg/ml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6C068773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51872B41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49934CC8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75565-3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4355B368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0C213560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7109484A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Anita Secher</w:t>
          </w:r>
        </w:p>
        <w:p w:rsidR="005A7792" w:rsidRPr="00B56871" w:rsidP="007C405C" w14:paraId="0C27235D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54847097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77E02778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6D5725E5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49D0884E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0C02896D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35B96"/>
    <w:multiLevelType w:val="hybridMultilevel"/>
    <w:tmpl w:val="9468E3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215AD"/>
    <w:multiLevelType w:val="hybridMultilevel"/>
    <w:tmpl w:val="67CA4C8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7AB2"/>
    <w:rsid w:val="00092EDB"/>
    <w:rsid w:val="00093E25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95DEC"/>
    <w:rsid w:val="001A08A5"/>
    <w:rsid w:val="001B0D52"/>
    <w:rsid w:val="001B1282"/>
    <w:rsid w:val="001B58E8"/>
    <w:rsid w:val="001B7097"/>
    <w:rsid w:val="001B71DC"/>
    <w:rsid w:val="001D150A"/>
    <w:rsid w:val="001D3E0B"/>
    <w:rsid w:val="001E1BEB"/>
    <w:rsid w:val="002043A6"/>
    <w:rsid w:val="00217CC4"/>
    <w:rsid w:val="0022259F"/>
    <w:rsid w:val="00225FFD"/>
    <w:rsid w:val="0024266E"/>
    <w:rsid w:val="00242BFD"/>
    <w:rsid w:val="00255785"/>
    <w:rsid w:val="0025598C"/>
    <w:rsid w:val="0025719F"/>
    <w:rsid w:val="0026281E"/>
    <w:rsid w:val="00275969"/>
    <w:rsid w:val="00275CC7"/>
    <w:rsid w:val="00275F75"/>
    <w:rsid w:val="00280384"/>
    <w:rsid w:val="00293FE9"/>
    <w:rsid w:val="002D131E"/>
    <w:rsid w:val="002E598A"/>
    <w:rsid w:val="002E7947"/>
    <w:rsid w:val="002F00BE"/>
    <w:rsid w:val="00306959"/>
    <w:rsid w:val="00310DCB"/>
    <w:rsid w:val="0031484C"/>
    <w:rsid w:val="003151F4"/>
    <w:rsid w:val="003270B9"/>
    <w:rsid w:val="00327CFF"/>
    <w:rsid w:val="0035326B"/>
    <w:rsid w:val="00360B84"/>
    <w:rsid w:val="003655C5"/>
    <w:rsid w:val="00375A00"/>
    <w:rsid w:val="003841CF"/>
    <w:rsid w:val="00393162"/>
    <w:rsid w:val="003B00D6"/>
    <w:rsid w:val="003F5483"/>
    <w:rsid w:val="003F6EEC"/>
    <w:rsid w:val="003F700D"/>
    <w:rsid w:val="003F7D79"/>
    <w:rsid w:val="00416A86"/>
    <w:rsid w:val="004446DE"/>
    <w:rsid w:val="00446621"/>
    <w:rsid w:val="00446FE9"/>
    <w:rsid w:val="00447366"/>
    <w:rsid w:val="0045201F"/>
    <w:rsid w:val="0045632E"/>
    <w:rsid w:val="004569FA"/>
    <w:rsid w:val="0046708B"/>
    <w:rsid w:val="00475373"/>
    <w:rsid w:val="00486302"/>
    <w:rsid w:val="004A45FB"/>
    <w:rsid w:val="004D76C0"/>
    <w:rsid w:val="004F067B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8378B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1CB7"/>
    <w:rsid w:val="006759FC"/>
    <w:rsid w:val="006869DF"/>
    <w:rsid w:val="006B4615"/>
    <w:rsid w:val="006D4CA5"/>
    <w:rsid w:val="0070718A"/>
    <w:rsid w:val="00726B81"/>
    <w:rsid w:val="0073162A"/>
    <w:rsid w:val="0074542B"/>
    <w:rsid w:val="00747533"/>
    <w:rsid w:val="00755B00"/>
    <w:rsid w:val="00760AB1"/>
    <w:rsid w:val="0076549C"/>
    <w:rsid w:val="00765F42"/>
    <w:rsid w:val="00770681"/>
    <w:rsid w:val="00771348"/>
    <w:rsid w:val="0079072D"/>
    <w:rsid w:val="00793AED"/>
    <w:rsid w:val="00795451"/>
    <w:rsid w:val="007C405C"/>
    <w:rsid w:val="007C6633"/>
    <w:rsid w:val="007D5B30"/>
    <w:rsid w:val="007E12A1"/>
    <w:rsid w:val="007E478A"/>
    <w:rsid w:val="007E4D01"/>
    <w:rsid w:val="007F21C4"/>
    <w:rsid w:val="007F3EEE"/>
    <w:rsid w:val="007F7906"/>
    <w:rsid w:val="0080591F"/>
    <w:rsid w:val="00812B5D"/>
    <w:rsid w:val="008212A3"/>
    <w:rsid w:val="0082473C"/>
    <w:rsid w:val="00826305"/>
    <w:rsid w:val="008344E7"/>
    <w:rsid w:val="008350E1"/>
    <w:rsid w:val="00844C39"/>
    <w:rsid w:val="008463CA"/>
    <w:rsid w:val="008530AD"/>
    <w:rsid w:val="00854E4A"/>
    <w:rsid w:val="008715B0"/>
    <w:rsid w:val="00872913"/>
    <w:rsid w:val="00885DE1"/>
    <w:rsid w:val="008877DB"/>
    <w:rsid w:val="00893966"/>
    <w:rsid w:val="008B4E31"/>
    <w:rsid w:val="008C0E6E"/>
    <w:rsid w:val="008D3FE7"/>
    <w:rsid w:val="0090350E"/>
    <w:rsid w:val="0090373A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0EB1"/>
    <w:rsid w:val="00A31534"/>
    <w:rsid w:val="00A331C0"/>
    <w:rsid w:val="00A52F84"/>
    <w:rsid w:val="00A56EED"/>
    <w:rsid w:val="00A67FE1"/>
    <w:rsid w:val="00A748E8"/>
    <w:rsid w:val="00A74E39"/>
    <w:rsid w:val="00A770F3"/>
    <w:rsid w:val="00A819AD"/>
    <w:rsid w:val="00A9556D"/>
    <w:rsid w:val="00AB302B"/>
    <w:rsid w:val="00AB467A"/>
    <w:rsid w:val="00AB5EA8"/>
    <w:rsid w:val="00AB7819"/>
    <w:rsid w:val="00AC1C62"/>
    <w:rsid w:val="00AC1F24"/>
    <w:rsid w:val="00AC41A4"/>
    <w:rsid w:val="00AD3069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43E"/>
    <w:rsid w:val="00B347B4"/>
    <w:rsid w:val="00B348C6"/>
    <w:rsid w:val="00B56871"/>
    <w:rsid w:val="00B61B37"/>
    <w:rsid w:val="00B6296F"/>
    <w:rsid w:val="00B87B4F"/>
    <w:rsid w:val="00B95394"/>
    <w:rsid w:val="00B9791F"/>
    <w:rsid w:val="00BB12AE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538EB"/>
    <w:rsid w:val="00C62964"/>
    <w:rsid w:val="00C83701"/>
    <w:rsid w:val="00C93471"/>
    <w:rsid w:val="00C949DA"/>
    <w:rsid w:val="00C95FF0"/>
    <w:rsid w:val="00CB2383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08D1"/>
    <w:rsid w:val="00D553E0"/>
    <w:rsid w:val="00D57221"/>
    <w:rsid w:val="00D70829"/>
    <w:rsid w:val="00D7086E"/>
    <w:rsid w:val="00D723E7"/>
    <w:rsid w:val="00D84A01"/>
    <w:rsid w:val="00D86807"/>
    <w:rsid w:val="00D87AE8"/>
    <w:rsid w:val="00D932CA"/>
    <w:rsid w:val="00D93BBF"/>
    <w:rsid w:val="00D969C7"/>
    <w:rsid w:val="00DA107F"/>
    <w:rsid w:val="00DA47E7"/>
    <w:rsid w:val="00DC2069"/>
    <w:rsid w:val="00DC4173"/>
    <w:rsid w:val="00DD0DBC"/>
    <w:rsid w:val="00DE67D1"/>
    <w:rsid w:val="00E2003B"/>
    <w:rsid w:val="00E33AE4"/>
    <w:rsid w:val="00E42AE0"/>
    <w:rsid w:val="00E47EFD"/>
    <w:rsid w:val="00E5537A"/>
    <w:rsid w:val="00E562BF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2B8A"/>
    <w:rsid w:val="00EF42A6"/>
    <w:rsid w:val="00F0786B"/>
    <w:rsid w:val="00F3525B"/>
    <w:rsid w:val="00F45001"/>
    <w:rsid w:val="00F55CDF"/>
    <w:rsid w:val="00F61B87"/>
    <w:rsid w:val="00F66055"/>
    <w:rsid w:val="00F74AC7"/>
    <w:rsid w:val="00F76194"/>
    <w:rsid w:val="00F86032"/>
    <w:rsid w:val="00F863A9"/>
    <w:rsid w:val="00F86927"/>
    <w:rsid w:val="00F91949"/>
    <w:rsid w:val="00FA4839"/>
    <w:rsid w:val="00FA4F3C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3D868D-9466-4A85-BB04-54F59423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0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B37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lang w:eastAsia="sv-SE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583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583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vardhandboken.se/vardhygien-infektioner-och-smittspridning/operationssjukvard/peroperativ-vard-intraoperativ-vard/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yperlink" Target="https://www.vardhandboken.se/vardhygien-infektioner-och-smittspridning/vardhygien/huddesinfektion/ingrepp-med-liten-risk-for-infektion/" TargetMode="External" /><Relationship Id="rId8" Type="http://schemas.openxmlformats.org/officeDocument/2006/relationships/hyperlink" Target="https://www.vardhandboken.se/vardhygien-infektioner-och-smittspridning/vardhygien/huddesinfektion/ingrepp-med-stor-risk-for-infektion/" TargetMode="External" /><Relationship Id="rId9" Type="http://schemas.openxmlformats.org/officeDocument/2006/relationships/hyperlink" Target="https://www.vardhandboken.se/vardhygien-infektioner-och-smittspridning/vardhygien/huddesinfektion/vid-prov-for-blododling/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727</Words>
  <Characters>3854</Characters>
  <Application>Microsoft Office Word</Application>
  <DocSecurity>8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Hansson</cp:lastModifiedBy>
  <cp:revision>42</cp:revision>
  <cp:lastPrinted>2015-10-27T14:22:00Z</cp:lastPrinted>
  <dcterms:created xsi:type="dcterms:W3CDTF">2019-03-22T12:54:00Z</dcterms:created>
  <dcterms:modified xsi:type="dcterms:W3CDTF">2023-09-04T09:33:00Z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https://rjh.centuri.se:443/command/workflow/75565/comment</vt:lpwstr>
  </property>
  <property fmtid="{D5CDD505-2E9C-101B-9397-08002B2CF9AE}" pid="3" name="C_Approved">
    <vt:lpwstr>2023-09-20</vt:lpwstr>
  </property>
  <property fmtid="{D5CDD505-2E9C-101B-9397-08002B2CF9AE}" pid="4" name="C_ApprovedDate">
    <vt:lpwstr>2023-09-20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2024-09-20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2023-08-08</vt:lpwstr>
  </property>
  <property fmtid="{D5CDD505-2E9C-101B-9397-08002B2CF9AE}" pid="16" name="C_CreatedBy">
    <vt:lpwstr>Carina Hansson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2023-08-08</vt:lpwstr>
  </property>
  <property fmtid="{D5CDD505-2E9C-101B-9397-08002B2CF9AE}" pid="21" name="C_Description">
    <vt:lpwstr>Vad kan användas i stället för klorhexidinsprit vid begränsad tillgång, när ska klorhexidinsprit användas så långt möjligt osv</vt:lpwstr>
  </property>
  <property fmtid="{D5CDD505-2E9C-101B-9397-08002B2CF9AE}" pid="22" name="C_DocumentNumber">
    <vt:lpwstr>75565-3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https://rjh.centuri.se:443/RegNo/75565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https://rjh.centuri.se:443/Compare/75565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Hansson</vt:lpwstr>
  </property>
  <property fmtid="{D5CDD505-2E9C-101B-9397-08002B2CF9AE}" pid="41" name="C_Owners">
    <vt:lpwstr>Carina Hansson</vt:lpwstr>
  </property>
  <property fmtid="{D5CDD505-2E9C-101B-9397-08002B2CF9AE}" pid="42" name="C_Owner_Email">
    <vt:lpwstr>carina.hansson@regionjh.se</vt:lpwstr>
  </property>
  <property fmtid="{D5CDD505-2E9C-101B-9397-08002B2CF9AE}" pid="43" name="C_Owner_FamilyName">
    <vt:lpwstr>Hansson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caha3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75565</vt:lpwstr>
  </property>
  <property fmtid="{D5CDD505-2E9C-101B-9397-08002B2CF9AE}" pid="51" name="C_RegistrationNumberId">
    <vt:lpwstr>2a27e8b6-1fd5-450b-92f8-5f8a0e22555c</vt:lpwstr>
  </property>
  <property fmtid="{D5CDD505-2E9C-101B-9397-08002B2CF9AE}" pid="52" name="C_RegNo">
    <vt:lpwstr>75565-3</vt:lpwstr>
  </property>
  <property fmtid="{D5CDD505-2E9C-101B-9397-08002B2CF9AE}" pid="53" name="C_Restricted">
    <vt:lpwstr>False</vt:lpwstr>
  </property>
  <property fmtid="{D5CDD505-2E9C-101B-9397-08002B2CF9AE}" pid="54" name="C_Reviewed">
    <vt:lpwstr>2023-09-08</vt:lpwstr>
  </property>
  <property fmtid="{D5CDD505-2E9C-101B-9397-08002B2CF9AE}" pid="55" name="C_ReviewedDate">
    <vt:lpwstr>2023-09-08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Särskilda hygienråd och rutiner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Ersättning vid brist på klorhexidinsprit 5mg/ml</vt:lpwstr>
  </property>
  <property fmtid="{D5CDD505-2E9C-101B-9397-08002B2CF9AE}" pid="66" name="C_UpdatedWhen">
    <vt:lpwstr>2023-09-20</vt:lpwstr>
  </property>
  <property fmtid="{D5CDD505-2E9C-101B-9397-08002B2CF9AE}" pid="67" name="C_UpdatedWhenDate">
    <vt:lpwstr>2023-09-20</vt:lpwstr>
  </property>
  <property fmtid="{D5CDD505-2E9C-101B-9397-08002B2CF9AE}" pid="68" name="C_ValidFrom">
    <vt:lpwstr>2023-09-20</vt:lpwstr>
  </property>
  <property fmtid="{D5CDD505-2E9C-101B-9397-08002B2CF9AE}" pid="69" name="C_ValidFromDate">
    <vt:lpwstr>2023-09-20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8b2b8f21-08d6-444b-bf7d-3a1cc6871c5a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