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2F7BA4" w:rsidP="00E409A6" w14:paraId="03009ED0" w14:textId="77777777">
      <w:pPr>
        <w:pStyle w:val="Titel"/>
        <w:rPr>
          <w:bCs/>
        </w:rPr>
      </w:pPr>
      <w:r w:rsidRPr="00D53AA4">
        <w:rPr>
          <w:rFonts w:cs="Arial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11430</wp:posOffset>
            </wp:positionV>
            <wp:extent cx="1318895" cy="1181335"/>
            <wp:effectExtent l="0" t="0" r="0" b="0"/>
            <wp:wrapTight wrapText="bothSides">
              <wp:wrapPolygon>
                <wp:start x="0" y="0"/>
                <wp:lineTo x="0" y="21252"/>
                <wp:lineTo x="21215" y="21252"/>
                <wp:lineTo x="21215" y="0"/>
                <wp:lineTo x="0" y="0"/>
              </wp:wrapPolygon>
            </wp:wrapTight>
            <wp:docPr id="27" name="Bildobjekt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1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1" t="29250" r="57623" b="3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18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AA4">
        <w:fldChar w:fldCharType="begin"/>
      </w:r>
      <w:r w:rsidRPr="00D53AA4">
        <w:instrText xml:space="preserve"> DOCPROPERTY C_Title \* MERGEFORMAT  </w:instrText>
      </w:r>
      <w:r w:rsidRPr="00D53AA4">
        <w:fldChar w:fldCharType="separate"/>
      </w:r>
      <w:r w:rsidRPr="008E1783" w:rsidR="008E1783">
        <w:rPr>
          <w:bCs/>
        </w:rPr>
        <w:t>Uppmärksamhetssignalen</w:t>
      </w:r>
      <w:r w:rsidRPr="00D53AA4">
        <w:t xml:space="preserve"> i Cosmic - Rutin för dokumentation</w:t>
      </w:r>
      <w:r w:rsidRPr="00D53AA4">
        <w:rPr>
          <w:bCs/>
        </w:rPr>
        <w:fldChar w:fldCharType="end"/>
      </w:r>
    </w:p>
    <w:p w:rsidR="00E409A6" w:rsidRPr="003E6ED2" w:rsidP="003E6ED2" w14:paraId="49D9360D" w14:textId="77777777">
      <w:pPr>
        <w:pStyle w:val="Heading1"/>
      </w:pPr>
      <w:r w:rsidRPr="003E6ED2">
        <w:rPr>
          <w:rStyle w:val="normaltextrun"/>
        </w:rPr>
        <w:t>Bakgrund </w:t>
      </w:r>
      <w:r w:rsidRPr="003E6ED2">
        <w:rPr>
          <w:rStyle w:val="eop"/>
        </w:rPr>
        <w:t> </w:t>
      </w:r>
    </w:p>
    <w:p w:rsidR="00E409A6" w:rsidP="0036540E" w14:paraId="2CFB7C2C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Uppmärksamhetsinformation ska dokumenteras i patientjournalen enligt SoS föreskrifter och allmänna råd (HSLF-FS 2016:40) om </w:t>
      </w:r>
      <w:r>
        <w:rPr>
          <w:rStyle w:val="normaltextrun"/>
          <w:rFonts w:cs="Segoe UI"/>
        </w:rPr>
        <w:t>journalföring och behandling av personuppgifter i hälso- och sjukvården, 5 kap. 5§. Information om överkänslighet, smitta, medicinska tillstånd och behandlingar samt vårdrutinavvikelser som, om de inte är kända för hälso- och sjukvårdspersonal, medför allv</w:t>
      </w:r>
      <w:r>
        <w:rPr>
          <w:rStyle w:val="normaltextrun"/>
          <w:rFonts w:cs="Segoe UI"/>
        </w:rPr>
        <w:t>arligt hot mot patientens liv eller hälsa ingår i uppmärksamhetsinformation. </w:t>
      </w:r>
      <w:r>
        <w:rPr>
          <w:rStyle w:val="eop"/>
          <w:rFonts w:cs="Segoe UI"/>
        </w:rPr>
        <w:t> </w:t>
      </w:r>
    </w:p>
    <w:p w:rsidR="00E409A6" w:rsidP="0036540E" w14:paraId="46D78098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:rsidR="00E409A6" w:rsidP="0036540E" w14:paraId="546D348A" w14:textId="77777777">
      <w:pPr>
        <w:pStyle w:val="Brdtext-RJH"/>
        <w:rPr>
          <w:rStyle w:val="eop"/>
          <w:rFonts w:cs="Segoe UI"/>
        </w:rPr>
      </w:pPr>
      <w:r>
        <w:rPr>
          <w:rStyle w:val="normaltextrun"/>
          <w:rFonts w:cs="Segoe UI"/>
        </w:rPr>
        <w:t>Funktionen Uppmärksamhetssignal (UMS) som visar uppmärksamhetsinformation i Cosmic följer Socialstyrelsens informationsspecifikationer.</w:t>
      </w:r>
      <w:r>
        <w:rPr>
          <w:rStyle w:val="eop"/>
          <w:rFonts w:cs="Segoe UI"/>
        </w:rPr>
        <w:t> </w:t>
      </w:r>
    </w:p>
    <w:p w:rsidR="0058052E" w:rsidRPr="003E6ED2" w:rsidP="003E6ED2" w14:paraId="7C856C7E" w14:textId="77777777">
      <w:pPr>
        <w:pStyle w:val="Heading1"/>
      </w:pPr>
      <w:r w:rsidRPr="003E6ED2">
        <w:rPr>
          <w:rStyle w:val="normaltextrun"/>
        </w:rPr>
        <w:t>Uppmärksamhetsinformation i Cosmic</w:t>
      </w:r>
      <w:r w:rsidRPr="003E6ED2">
        <w:rPr>
          <w:rStyle w:val="eop"/>
        </w:rPr>
        <w:t> </w:t>
      </w:r>
    </w:p>
    <w:p w:rsidR="0058052E" w:rsidP="0036540E" w14:paraId="25A0203A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I </w:t>
      </w:r>
      <w:r>
        <w:rPr>
          <w:rStyle w:val="normaltextrun"/>
          <w:rFonts w:cs="Segoe UI"/>
        </w:rPr>
        <w:t>Cosmic är uppmärksamhetsinformationen samlad i Uppmärksamhetssignalen. Signalen består av fem delar: Överkänslighet, Smitta, Medicinskt tillstånd och behandling, Vårdrutinavvikelse och Ostrukturerad information. Överkänslighetsinformation i Cosmic är uppde</w:t>
      </w:r>
      <w:r>
        <w:rPr>
          <w:rStyle w:val="normaltextrun"/>
          <w:rFonts w:cs="Segoe UI"/>
        </w:rPr>
        <w:t>lad i tre allvarlighetsgrader: Livshotande, Skadlig och Besvärande. Registrerade överkänsligheter sorteras i fallande allvarlighetsgrad med högst allvarlighetsgrad överst.</w:t>
      </w:r>
      <w:r>
        <w:rPr>
          <w:rStyle w:val="eop"/>
          <w:rFonts w:cs="Segoe UI"/>
        </w:rPr>
        <w:t> </w:t>
      </w:r>
    </w:p>
    <w:p w:rsidR="0058052E" w:rsidP="0036540E" w14:paraId="0B010DB1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 </w:t>
      </w:r>
      <w:r>
        <w:rPr>
          <w:rStyle w:val="eop"/>
          <w:rFonts w:cs="Segoe UI"/>
        </w:rPr>
        <w:t> </w:t>
      </w:r>
    </w:p>
    <w:p w:rsidR="0058052E" w:rsidP="0058052E" w14:paraId="4276F0C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4528109" cy="2556352"/>
            <wp:effectExtent l="0" t="0" r="6350" b="0"/>
            <wp:docPr id="764595103" name="Bildobjekt 1" descr="En bild som visar skärmbild, text, diagram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95103" name="Bildobjekt 1" descr="En bild som visar skärmbild, text, diagram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5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:rsidR="0058052E" w:rsidP="0058052E" w14:paraId="67FEF17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:rsidR="0058052E" w:rsidP="0036540E" w14:paraId="3A81EB13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När en registrering finns är aktuell del i symbolen ifylld med färg. En inf</w:t>
      </w:r>
      <w:r>
        <w:rPr>
          <w:rStyle w:val="normaltextrun"/>
          <w:rFonts w:cs="Segoe UI"/>
        </w:rPr>
        <w:t>ormationsruta visas då muspekaren hålls över Uppmärksamhetssignalen. Varje registrering visas på en separat rad med en ikon som indikerar vilken del av Uppmärksamhetssignalen informationen tillhör. I vissa översikter kan Uppmärksamhetssignalen ses med symb</w:t>
      </w:r>
      <w:r>
        <w:rPr>
          <w:rStyle w:val="normaltextrun"/>
          <w:rFonts w:cs="Segoe UI"/>
        </w:rPr>
        <w:t>ol och är då antingen helt blåfärgad eller med avsett del ifylld. </w:t>
      </w:r>
      <w:r>
        <w:rPr>
          <w:rStyle w:val="eop"/>
          <w:rFonts w:cs="Segoe UI"/>
        </w:rPr>
        <w:t> </w:t>
      </w:r>
    </w:p>
    <w:p w:rsidR="0058052E" w:rsidP="0036540E" w14:paraId="2523FC04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:rsidR="0058052E" w:rsidP="0036540E" w14:paraId="7087DD32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I normalfallet anges uppmärksamhetsinformation av läkare. All legitimerad personal kan dock ange uppmärksamhetsinformation (undantaget behandlingsbegränsningar), om man kan utesluta att medicinsk bedömning behövs. En registrering kan behöva omprövas, ange </w:t>
      </w:r>
      <w:r>
        <w:rPr>
          <w:rStyle w:val="normaltextrun"/>
          <w:rFonts w:cs="Segoe UI"/>
        </w:rPr>
        <w:t>datum och tid tillsammans med orsak för omprövningen. Datum för omprövning och kommentar kan ges i uppmärksamhetssignalens alla delar. </w:t>
      </w:r>
      <w:r>
        <w:rPr>
          <w:rStyle w:val="eop"/>
          <w:rFonts w:cs="Segoe UI"/>
        </w:rPr>
        <w:t> </w:t>
      </w:r>
    </w:p>
    <w:p w:rsidR="0058052E" w:rsidP="0036540E" w14:paraId="273DCCC3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:rsidR="0058052E" w:rsidP="0036540E" w14:paraId="08E52996" w14:textId="77777777">
      <w:pPr>
        <w:pStyle w:val="Brdtext-RJH"/>
        <w:rPr>
          <w:rStyle w:val="eop"/>
          <w:rFonts w:cs="Segoe UI"/>
        </w:rPr>
      </w:pPr>
      <w:r>
        <w:rPr>
          <w:rStyle w:val="normaltextrun"/>
          <w:rFonts w:cs="Segoe UI"/>
        </w:rPr>
        <w:t xml:space="preserve">Registrering som inte längre är giltig ska tas bort, detta görs genom </w:t>
      </w:r>
      <w:r w:rsidR="00190847">
        <w:rPr>
          <w:rStyle w:val="normaltextrun"/>
          <w:rFonts w:cs="Segoe UI"/>
          <w:lang w:val="sv-SE"/>
        </w:rPr>
        <w:t xml:space="preserve">att </w:t>
      </w:r>
      <w:r>
        <w:rPr>
          <w:rStyle w:val="normaltextrun"/>
          <w:rFonts w:cs="Segoe UI"/>
        </w:rPr>
        <w:t>Avsluta. I de fall registreringen är felakt</w:t>
      </w:r>
      <w:r>
        <w:rPr>
          <w:rStyle w:val="normaltextrun"/>
          <w:rFonts w:cs="Segoe UI"/>
        </w:rPr>
        <w:t>ig ska registreringen tas bort genom</w:t>
      </w:r>
      <w:r w:rsidR="00190847">
        <w:rPr>
          <w:rStyle w:val="normaltextrun"/>
          <w:rFonts w:cs="Segoe UI"/>
          <w:lang w:val="sv-SE"/>
        </w:rPr>
        <w:t xml:space="preserve"> att</w:t>
      </w:r>
      <w:r>
        <w:rPr>
          <w:rStyle w:val="normaltextrun"/>
          <w:rFonts w:cs="Segoe UI"/>
        </w:rPr>
        <w:t xml:space="preserve"> Makuler</w:t>
      </w:r>
      <w:r w:rsidR="00190847">
        <w:rPr>
          <w:rStyle w:val="normaltextrun"/>
          <w:rFonts w:cs="Segoe UI"/>
          <w:lang w:val="sv-SE"/>
        </w:rPr>
        <w:t>a</w:t>
      </w:r>
      <w:r>
        <w:rPr>
          <w:rStyle w:val="normaltextrun"/>
          <w:rFonts w:cs="Segoe UI"/>
        </w:rPr>
        <w:t>.</w:t>
      </w:r>
      <w:r>
        <w:rPr>
          <w:rStyle w:val="eop"/>
          <w:rFonts w:cs="Segoe UI"/>
        </w:rPr>
        <w:t> </w:t>
      </w:r>
    </w:p>
    <w:p w:rsidR="0058052E" w:rsidRPr="004D0E98" w:rsidP="004D0E98" w14:paraId="5A7923AD" w14:textId="77777777">
      <w:pPr>
        <w:pStyle w:val="Heading2"/>
      </w:pPr>
      <w:r w:rsidRPr="004D0E98">
        <w:rPr>
          <w:rStyle w:val="normaltextrun"/>
        </w:rPr>
        <w:t>Länka journalanteckning </w:t>
      </w:r>
      <w:r w:rsidRPr="004D0E98">
        <w:rPr>
          <w:rStyle w:val="eop"/>
        </w:rPr>
        <w:t> </w:t>
      </w:r>
    </w:p>
    <w:p w:rsidR="0058052E" w:rsidP="0036540E" w14:paraId="745A88EC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Vid registrering av överkänslighet måste reaktion dokumenteras genom att länka journalanteckning. </w:t>
      </w:r>
      <w:r>
        <w:rPr>
          <w:rStyle w:val="eop"/>
          <w:rFonts w:cs="Segoe UI"/>
        </w:rPr>
        <w:t> </w:t>
      </w:r>
    </w:p>
    <w:p w:rsidR="0058052E" w:rsidP="0036540E" w14:paraId="5043C736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Alla registreringar i Uppmärksamhetssignalen kan vid behov kompletteras med en</w:t>
      </w:r>
      <w:r>
        <w:rPr>
          <w:rStyle w:val="normaltextrun"/>
          <w:rFonts w:cs="Segoe UI"/>
        </w:rPr>
        <w:t xml:space="preserve"> journalanteckning. </w:t>
      </w:r>
      <w:r>
        <w:rPr>
          <w:rStyle w:val="eop"/>
          <w:rFonts w:cs="Segoe UI"/>
        </w:rPr>
        <w:t> </w:t>
      </w:r>
    </w:p>
    <w:p w:rsidR="003E6ED2" w:rsidRPr="003E6ED2" w:rsidP="003E6ED2" w14:paraId="533E37A9" w14:textId="77777777">
      <w:pPr>
        <w:pStyle w:val="Heading1"/>
      </w:pPr>
      <w:r w:rsidRPr="003E6ED2">
        <w:rPr>
          <w:rStyle w:val="normaltextrun"/>
        </w:rPr>
        <w:t>Informationskategorier </w:t>
      </w:r>
      <w:r w:rsidRPr="003E6ED2">
        <w:rPr>
          <w:rStyle w:val="eop"/>
        </w:rPr>
        <w:t> </w:t>
      </w:r>
    </w:p>
    <w:p w:rsidR="003E6ED2" w:rsidRPr="004D0E98" w:rsidP="004D0E98" w14:paraId="14EA2E75" w14:textId="77777777">
      <w:pPr>
        <w:pStyle w:val="Heading2"/>
      </w:pPr>
      <w:r w:rsidRPr="004D0E98">
        <w:rPr>
          <w:rStyle w:val="normaltextrun"/>
        </w:rPr>
        <w:t>Överkänslighet </w:t>
      </w:r>
      <w:r w:rsidRPr="004D0E98">
        <w:rPr>
          <w:rStyle w:val="eop"/>
        </w:rPr>
        <w:t> </w:t>
      </w:r>
    </w:p>
    <w:p w:rsidR="003E6ED2" w:rsidRPr="00190847" w:rsidP="0036540E" w14:paraId="7704ECBB" w14:textId="77777777">
      <w:pPr>
        <w:pStyle w:val="Brdtext-RJH"/>
        <w:rPr>
          <w:rFonts w:ascii="Segoe UI" w:hAnsi="Segoe UI"/>
          <w:sz w:val="18"/>
          <w:szCs w:val="18"/>
          <w:lang w:val="sv-SE"/>
        </w:rPr>
      </w:pPr>
      <w:r>
        <w:rPr>
          <w:rStyle w:val="normaltextrun"/>
          <w:rFonts w:cs="Segoe UI"/>
        </w:rPr>
        <w:t>Överkänslighetsinformation i Cosmic är uppdelad i tre allvarlighetsgrader: Livshotande, Skadlig och Besvärande. Registrerade överkänsligheter sorteras i fallande allvarlighetsgrad med högst al</w:t>
      </w:r>
      <w:r>
        <w:rPr>
          <w:rStyle w:val="normaltextrun"/>
          <w:rFonts w:cs="Segoe UI"/>
        </w:rPr>
        <w:t>lvarlighetsgrad överst.</w:t>
      </w:r>
      <w:r w:rsidR="00190847">
        <w:rPr>
          <w:rStyle w:val="normaltextrun"/>
          <w:rFonts w:cs="Segoe UI"/>
          <w:lang w:val="sv-SE"/>
        </w:rPr>
        <w:t xml:space="preserve"> Reaktion dokumenteras genom att länka journalanteckning.</w:t>
      </w:r>
    </w:p>
    <w:p w:rsidR="003E6ED2" w:rsidRPr="004D0E98" w:rsidP="004D0E98" w14:paraId="12FAC4E9" w14:textId="77777777">
      <w:pPr>
        <w:pStyle w:val="Heading3"/>
      </w:pPr>
      <w:r w:rsidRPr="004D0E98">
        <w:rPr>
          <w:rStyle w:val="normaltextrun"/>
        </w:rPr>
        <w:t>Läkemedel </w:t>
      </w:r>
      <w:r w:rsidRPr="004D0E98">
        <w:rPr>
          <w:rStyle w:val="eop"/>
        </w:rPr>
        <w:t> </w:t>
      </w:r>
    </w:p>
    <w:p w:rsidR="003E6ED2" w:rsidP="0036540E" w14:paraId="3960E59A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Val av läkemedel görs via koppling till varuregistret/produktkatalogen via </w:t>
      </w:r>
      <w:hyperlink r:id="rId7" w:tgtFrame="_blank" w:history="1">
        <w:r>
          <w:rPr>
            <w:rStyle w:val="normaltextrun"/>
            <w:rFonts w:cs="Segoe UI"/>
            <w:color w:val="000000"/>
            <w:u w:val="single"/>
            <w:shd w:val="clear" w:color="auto" w:fill="E1E3E6"/>
          </w:rPr>
          <w:t>ATC-kod</w:t>
        </w:r>
      </w:hyperlink>
      <w:r>
        <w:rPr>
          <w:rStyle w:val="normaltextrun"/>
          <w:rFonts w:cs="Segoe UI"/>
        </w:rPr>
        <w:t>. Allvarlighetsgrad måste anges som Livshotande, Skadlig eller Besvärande. Visshetsgraden måste anges som bekräftad eller misstänkt. </w:t>
      </w:r>
      <w:r>
        <w:rPr>
          <w:rStyle w:val="eop"/>
          <w:rFonts w:cs="Segoe UI"/>
        </w:rPr>
        <w:t> </w:t>
      </w:r>
    </w:p>
    <w:p w:rsidR="003E6ED2" w:rsidP="004D0E98" w14:paraId="55551F4F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Kemikalier </w:t>
      </w:r>
      <w:r>
        <w:rPr>
          <w:rStyle w:val="eop"/>
          <w:rFonts w:cs="Segoe UI"/>
        </w:rPr>
        <w:t> </w:t>
      </w:r>
    </w:p>
    <w:p w:rsidR="003E6ED2" w:rsidP="0036540E" w14:paraId="3D9EF5C9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Här registreras överkänslighet mot klorhexidin och latex. Allvarlighetsgrad måste anges som Livshotande, Skadlig eller Besvärande. Visshetsgraden måste anges som bekräftad eller misstänkt. </w:t>
      </w:r>
      <w:r>
        <w:rPr>
          <w:rStyle w:val="eop"/>
          <w:rFonts w:cs="Segoe UI"/>
        </w:rPr>
        <w:t> </w:t>
      </w:r>
    </w:p>
    <w:p w:rsidR="003E6ED2" w:rsidP="0036540E" w14:paraId="164802EE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eop"/>
          <w:rFonts w:cs="Segoe UI"/>
        </w:rPr>
        <w:t> </w:t>
      </w:r>
    </w:p>
    <w:p w:rsidR="003E6ED2" w:rsidP="0036540E" w14:paraId="63A50EF2" w14:textId="77777777">
      <w:pPr>
        <w:pStyle w:val="Brdtext-RJH"/>
        <w:rPr>
          <w:rStyle w:val="eop"/>
          <w:rFonts w:cs="Segoe UI"/>
        </w:rPr>
      </w:pPr>
      <w:r>
        <w:rPr>
          <w:rStyle w:val="normaltextrun"/>
          <w:rFonts w:cs="Segoe UI"/>
        </w:rPr>
        <w:t xml:space="preserve">Allvarlig födoämnesöverkänslighet kan dokumenteras i </w:t>
      </w:r>
      <w:r>
        <w:rPr>
          <w:rStyle w:val="normaltextrun"/>
          <w:rFonts w:cs="Segoe UI"/>
        </w:rPr>
        <w:t>Gemensamma dokument / Basinformation / Födoämnesöverkänslighet.</w:t>
      </w:r>
    </w:p>
    <w:p w:rsidR="008C391F" w:rsidRPr="001E0838" w:rsidP="0036540E" w14:paraId="4E3B3361" w14:textId="77777777">
      <w:pPr>
        <w:pStyle w:val="Heading2"/>
      </w:pPr>
      <w:r w:rsidRPr="008C391F">
        <w:rPr>
          <w:rStyle w:val="normaltextrun"/>
        </w:rPr>
        <w:t>Smitta</w:t>
      </w:r>
    </w:p>
    <w:p w:rsidR="001E0838" w:rsidP="001E0838" w14:paraId="502EE56E" w14:textId="77777777">
      <w:pPr>
        <w:pStyle w:val="Brdtext-RJH"/>
        <w:rPr>
          <w:rStyle w:val="normaltextrun"/>
          <w:rFonts w:cs="Segoe UI"/>
        </w:rPr>
      </w:pPr>
      <w:r w:rsidRPr="001E0838">
        <w:rPr>
          <w:rStyle w:val="normaltextrun"/>
          <w:rFonts w:cs="Segoe UI"/>
        </w:rPr>
        <w:t>Dokumentation av smittsam sjukdom sker genom val ur listan Smitta. De smittor som ska registreras i UMS är MRSA, VRE, ESBL och ESBL CARBA. Blodsmitta ska inte längre registreras i UMS i</w:t>
      </w:r>
      <w:r w:rsidRPr="001E0838">
        <w:rPr>
          <w:rStyle w:val="normaltextrun"/>
          <w:rFonts w:cs="Segoe UI"/>
        </w:rPr>
        <w:t xml:space="preserve"> Cosmic. Blodsmitta hos gravid finns som val under Smitta i UMS i Cosmic, men det ska inte registreras där utan i stället i mödrahälsovårdens journalsystem Obstetrix.</w:t>
      </w:r>
    </w:p>
    <w:p w:rsidR="001E0838" w:rsidRPr="001E0838" w:rsidP="001E0838" w14:paraId="32249AF5" w14:textId="77777777">
      <w:pPr>
        <w:pStyle w:val="Brdtext-RJH"/>
        <w:rPr>
          <w:rStyle w:val="normaltextrun"/>
          <w:rFonts w:cs="Segoe UI"/>
        </w:rPr>
      </w:pPr>
      <w:r w:rsidRPr="001E0838">
        <w:rPr>
          <w:rStyle w:val="normaltextrun"/>
          <w:rFonts w:cs="Segoe UI"/>
        </w:rPr>
        <w:t>Kvarvarande registreringar enligt tidigare rutin för blodsmitta ska avslutas i samband me</w:t>
      </w:r>
      <w:r w:rsidRPr="001E0838">
        <w:rPr>
          <w:rStyle w:val="normaltextrun"/>
          <w:rFonts w:cs="Segoe UI"/>
        </w:rPr>
        <w:t>d besök/kontakt med vården. Ange avslutningsorsak ”Ej längre uppmärksamhetsinformation”.</w:t>
      </w:r>
    </w:p>
    <w:p w:rsidR="008C391F" w:rsidRPr="008C391F" w:rsidP="008C391F" w14:paraId="4159755B" w14:textId="77777777">
      <w:pPr>
        <w:pStyle w:val="Heading2"/>
      </w:pPr>
      <w:r w:rsidRPr="008C391F">
        <w:rPr>
          <w:rStyle w:val="normaltextrun"/>
        </w:rPr>
        <w:t>Vårdrutinavvikelse</w:t>
      </w:r>
    </w:p>
    <w:p w:rsidR="008C391F" w:rsidP="0036540E" w14:paraId="1FF8016C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Här anges om avvikelse mot rutin måste/bör göras. Flera av termerna i informationskategorin är förknippade med lokala </w:t>
      </w:r>
      <w:r w:rsidR="002323F6">
        <w:rPr>
          <w:rStyle w:val="normaltextrun"/>
          <w:rFonts w:cs="Segoe UI"/>
        </w:rPr>
        <w:t>rutiner</w:t>
      </w:r>
      <w:r>
        <w:rPr>
          <w:rStyle w:val="normaltextrun"/>
          <w:rFonts w:cs="Segoe UI"/>
        </w:rPr>
        <w:t xml:space="preserve"> kring omprövning etcet</w:t>
      </w:r>
      <w:r>
        <w:rPr>
          <w:rStyle w:val="normaltextrun"/>
          <w:rFonts w:cs="Segoe UI"/>
        </w:rPr>
        <w:t>era, beakta även dessa.</w:t>
      </w:r>
    </w:p>
    <w:p w:rsidR="002323F6" w:rsidP="002323F6" w14:paraId="085B4C27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Hotbild mot patienten</w:t>
      </w:r>
    </w:p>
    <w:p w:rsidR="002323F6" w:rsidRPr="002323F6" w:rsidP="0036540E" w14:paraId="31852552" w14:textId="77777777">
      <w:pPr>
        <w:pStyle w:val="Brdtext-RJH"/>
        <w:rPr>
          <w:rStyle w:val="normaltextrun"/>
          <w:rFonts w:cs="Segoe UI"/>
        </w:rPr>
      </w:pPr>
      <w:r w:rsidRPr="002323F6">
        <w:rPr>
          <w:rStyle w:val="normaltextrun"/>
          <w:rFonts w:cs="Segoe UI"/>
        </w:rPr>
        <w:t>D</w:t>
      </w:r>
      <w:r w:rsidRPr="002323F6">
        <w:rPr>
          <w:rStyle w:val="normaltextrun"/>
          <w:rFonts w:eastAsia="Times New Roman" w:cs="Segoe UI"/>
          <w:lang w:eastAsia="sv-SE"/>
        </w:rPr>
        <w:t>okum</w:t>
      </w:r>
      <w:r w:rsidRPr="002323F6">
        <w:rPr>
          <w:rStyle w:val="normaltextrun"/>
          <w:rFonts w:cs="Segoe UI"/>
        </w:rPr>
        <w:t>entation gällande våld i nära relation ska inte ske i Uppmärksamhetssignalen utan på särskild dokumentationsmall i journaltext – ”Våldsutsatthet och/eller oro för barn”, se Dokumentationsrutin i Cosmic gäl</w:t>
      </w:r>
      <w:r w:rsidRPr="002323F6">
        <w:rPr>
          <w:rStyle w:val="normaltextrun"/>
          <w:rFonts w:cs="Segoe UI"/>
        </w:rPr>
        <w:t>lande våldsutsatthet. Anledningen till att vi inte använder UMS för denna information är att all info i UMS exporteras till Journal på Nätet (där den kan riskera att komma i orätta händer), vilket ovannämnda journalmall inte gör.</w:t>
      </w:r>
    </w:p>
    <w:p w:rsidR="002323F6" w:rsidP="002323F6" w14:paraId="5BF59A9F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Deltagare i klinisk läkeme</w:t>
      </w:r>
      <w:r>
        <w:rPr>
          <w:rStyle w:val="normaltextrun"/>
          <w:rFonts w:cs="Segoe UI"/>
        </w:rPr>
        <w:t>delsprövning</w:t>
      </w:r>
    </w:p>
    <w:p w:rsidR="002323F6" w:rsidP="0036540E" w14:paraId="7839ABD0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När en patient ingår i en läkemedelsstudie ska detta dokumenteras i Uppmärksamhetssignalen. Typ av läkemedel, studiens beteckning samt namn och telefonnummer till den ansvarige för studien ska anges. Datum när studien påbörjas/avslutas ska reg</w:t>
      </w:r>
      <w:r>
        <w:rPr>
          <w:rStyle w:val="normaltextrun"/>
          <w:rFonts w:cs="Segoe UI"/>
        </w:rPr>
        <w:t>istreras. Omprövning ska sättas till studiens slut. Att patienten ingår i en klinisk prövning ska också dokumenteras med fiktiv läkemedelsmall ”klinisk prövning (studieläkemedel)” i LM-listan, där också dosering av studieläkemedlet sker.</w:t>
      </w:r>
    </w:p>
    <w:p w:rsidR="002323F6" w:rsidP="002323F6" w14:paraId="57813389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Deltagare i klinis</w:t>
      </w:r>
      <w:r>
        <w:rPr>
          <w:rStyle w:val="normaltextrun"/>
          <w:rFonts w:cs="Segoe UI"/>
        </w:rPr>
        <w:t>k prövning</w:t>
      </w:r>
    </w:p>
    <w:p w:rsidR="002323F6" w:rsidP="0036540E" w14:paraId="12A2FB0B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När patienten ingår i en studie ska detta dokumenteras i Uppmärksamhetssignalen. Typ av klinisk studie, studiens beteckning samt namn och telefonnummer till den ansvarige för studien ska anges. Datum när studien påbörjas/avslutas ska registreras</w:t>
      </w:r>
      <w:r>
        <w:rPr>
          <w:rStyle w:val="normaltextrun"/>
          <w:rFonts w:cs="Segoe UI"/>
        </w:rPr>
        <w:t>. Omprövning ska sättas till studiens slut.</w:t>
      </w:r>
    </w:p>
    <w:p w:rsidR="002323F6" w:rsidP="002323F6" w14:paraId="11859A88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Patienten accepterar ej blod- eller plasmatransfusion</w:t>
      </w:r>
    </w:p>
    <w:p w:rsidR="002323F6" w:rsidP="0036540E" w14:paraId="4D861C76" w14:textId="77777777">
      <w:pPr>
        <w:pStyle w:val="Brdtext-RJH"/>
        <w:rPr>
          <w:rStyle w:val="normaltextrun"/>
          <w:rFonts w:cs="Segoe UI"/>
        </w:rPr>
      </w:pPr>
      <w:r>
        <w:rPr>
          <w:rStyle w:val="normaltextrun"/>
          <w:rFonts w:cs="Segoe UI"/>
        </w:rPr>
        <w:t>Informationen dokumenteras endast på patientens önskemål och beslut, och tas bort på patientens begäran. Datum för start och upphörande ska dokumenteras.</w:t>
      </w:r>
    </w:p>
    <w:p w:rsidR="001E0838" w:rsidRPr="00726191" w:rsidP="0036540E" w14:paraId="2CFEB887" w14:textId="3FAE5F67">
      <w:pPr>
        <w:pStyle w:val="Brdtext-RJH"/>
        <w:rPr>
          <w:sz w:val="18"/>
          <w:szCs w:val="18"/>
          <w:lang w:val="sv-SE"/>
        </w:rPr>
      </w:pPr>
      <w:r w:rsidRPr="003D1991">
        <w:rPr>
          <w:rStyle w:val="normaltextrun"/>
          <w:rFonts w:cs="Segoe UI"/>
          <w:lang w:val="sv-SE"/>
        </w:rPr>
        <w:t>Här</w:t>
      </w:r>
      <w:r w:rsidRPr="003D1991">
        <w:rPr>
          <w:rStyle w:val="normaltextrun"/>
          <w:rFonts w:cs="Segoe UI"/>
          <w:lang w:val="sv-SE"/>
        </w:rPr>
        <w:t xml:space="preserve"> dokumenteras om patienten har behov av bestrålat blod, med en kommentar som tydligt anger att endast bestrålade produkter får ges samt under vilken tidsperiod detta gäller.</w:t>
      </w:r>
      <w:r w:rsidRPr="003D1991" w:rsidR="00726191">
        <w:rPr>
          <w:rStyle w:val="normaltextrun"/>
          <w:rFonts w:cs="Segoe UI"/>
          <w:lang w:val="sv-SE"/>
        </w:rPr>
        <w:t xml:space="preserve"> </w:t>
      </w:r>
      <w:hyperlink r:id="rId8" w:history="1">
        <w:r w:rsidRPr="003D1991" w:rsidR="00726191">
          <w:rPr>
            <w:szCs w:val="22"/>
            <w:u w:val="single"/>
            <w:lang w:val="sv-SE"/>
          </w:rPr>
          <w:t xml:space="preserve">Uppmärksamhetssignalen i Cosmic - rutin för bestrålade produkter </w:t>
        </w:r>
        <w:r w:rsidRPr="003D1991" w:rsidR="00726191">
          <w:rPr>
            <w:szCs w:val="22"/>
            <w:u w:val="single"/>
            <w:lang w:val="sv-SE"/>
          </w:rPr>
          <w:t>75175</w:t>
        </w:r>
      </w:hyperlink>
    </w:p>
    <w:p w:rsidR="002323F6" w:rsidP="002323F6" w14:paraId="42F9EED5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Patienten accepterar ej autolog blodtransfusion eller cellsaver</w:t>
      </w:r>
    </w:p>
    <w:p w:rsidR="002323F6" w:rsidP="0036540E" w14:paraId="094C286A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Informationen dokumenteras endast på patientens önskemål och beslut, och tas bort </w:t>
      </w:r>
      <w:r>
        <w:rPr>
          <w:rStyle w:val="normaltextrun"/>
          <w:rFonts w:cs="Segoe UI"/>
        </w:rPr>
        <w:t>på patientens begäran. Datum för start och upphörande ska dokumenteras.</w:t>
      </w:r>
    </w:p>
    <w:p w:rsidR="002323F6" w:rsidP="002323F6" w14:paraId="49B7257A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Läkarbeslut finns om att inte utföra hjärt-lungräddning och Läkarbeslut finns om att avsluta livsuppehållande behandling</w:t>
      </w:r>
    </w:p>
    <w:p w:rsidR="002323F6" w:rsidP="0036540E" w14:paraId="1225914A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När det finns ett beslut om behandlingsbegränsningar, att avslu</w:t>
      </w:r>
      <w:r>
        <w:rPr>
          <w:rStyle w:val="normaltextrun"/>
          <w:rFonts w:cs="Segoe UI"/>
        </w:rPr>
        <w:t>ta eller ej starta livsuppehållande behandling, ska detta dokumenteras i Uppmärksamhetssignalen med länk till journalanteckning. Motivering för beslut enl ovan ska dessutom finnas dokumenterat i patientjournalen i Gemensamma dokument / Basinformation / Beh</w:t>
      </w:r>
      <w:r>
        <w:rPr>
          <w:rStyle w:val="normaltextrun"/>
          <w:rFonts w:cs="Segoe UI"/>
        </w:rPr>
        <w:t xml:space="preserve">andlingsbegränsning och -strategi. Se vidare RegionJH:s riktlinje </w:t>
      </w:r>
      <w:hyperlink r:id="rId9" w:tgtFrame="_blank" w:history="1">
        <w:r w:rsidRPr="003D1991">
          <w:rPr>
            <w:rStyle w:val="normaltextrun"/>
            <w:rFonts w:cs="Segoe UI"/>
            <w:color w:val="000000"/>
            <w:u w:val="single"/>
          </w:rPr>
          <w:t>Dokumentation av behandlingsbegränsning och behandlingsstrategi i Cosmic 40239</w:t>
        </w:r>
      </w:hyperlink>
      <w:r>
        <w:rPr>
          <w:rStyle w:val="eop"/>
          <w:rFonts w:cs="Segoe UI"/>
        </w:rPr>
        <w:t> </w:t>
      </w:r>
    </w:p>
    <w:p w:rsidR="002323F6" w:rsidP="002323F6" w14:paraId="464380CD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Palliativ vård</w:t>
      </w:r>
      <w:r>
        <w:rPr>
          <w:rStyle w:val="eop"/>
          <w:rFonts w:cs="Segoe UI"/>
        </w:rPr>
        <w:t> </w:t>
      </w:r>
    </w:p>
    <w:p w:rsidR="002323F6" w:rsidP="0036540E" w14:paraId="26B105CD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  <w:lang w:val="sv-SE"/>
        </w:rPr>
        <w:t>Detta</w:t>
      </w:r>
      <w:r>
        <w:rPr>
          <w:rStyle w:val="normaltextrun"/>
          <w:rFonts w:cs="Segoe UI"/>
          <w:lang w:val="sv-SE"/>
        </w:rPr>
        <w:t xml:space="preserve"> val s</w:t>
      </w:r>
      <w:r>
        <w:rPr>
          <w:rStyle w:val="normaltextrun"/>
          <w:rFonts w:cs="Segoe UI"/>
        </w:rPr>
        <w:t>ka tills vidare inte användas</w:t>
      </w:r>
      <w:r>
        <w:rPr>
          <w:rStyle w:val="normaltextrun"/>
          <w:rFonts w:cs="Segoe UI"/>
          <w:lang w:val="sv-SE"/>
        </w:rPr>
        <w:t xml:space="preserve"> inom region Jämtland Härjedalen</w:t>
      </w:r>
      <w:r>
        <w:rPr>
          <w:rStyle w:val="normaltextrun"/>
          <w:rFonts w:cs="Segoe UI"/>
        </w:rPr>
        <w:t xml:space="preserve">. </w:t>
      </w:r>
      <w:r>
        <w:rPr>
          <w:rStyle w:val="eop"/>
          <w:rFonts w:cs="Segoe UI"/>
        </w:rPr>
        <w:t> </w:t>
      </w:r>
    </w:p>
    <w:p w:rsidR="002323F6" w:rsidP="002323F6" w14:paraId="70384E54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Förskrivningsrestriktioner</w:t>
      </w:r>
    </w:p>
    <w:p w:rsidR="002323F6" w:rsidP="0036540E" w14:paraId="3B21E9F2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När förskrivningsrestriktioner är beslutade ska detta dokumenteras i Uppmärksamhetssignalen. Förskrivningsrestriktionens omfattning ska anges i kommentarsfält</w:t>
      </w:r>
      <w:r>
        <w:rPr>
          <w:rStyle w:val="normaltextrun"/>
          <w:rFonts w:cs="Segoe UI"/>
        </w:rPr>
        <w:t>et. Informationen initieras av vården. Patienten ska alltid informeras om vad som noterats angående detta. </w:t>
      </w:r>
      <w:r>
        <w:rPr>
          <w:rStyle w:val="eop"/>
          <w:rFonts w:cs="Segoe UI"/>
        </w:rPr>
        <w:t> </w:t>
      </w:r>
    </w:p>
    <w:p w:rsidR="002323F6" w:rsidP="002323F6" w14:paraId="1F18C574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Hänvisning finns till en specifik vårdenhet</w:t>
      </w:r>
    </w:p>
    <w:p w:rsidR="002323F6" w:rsidP="0036540E" w14:paraId="145BB322" w14:textId="77777777">
      <w:pPr>
        <w:pStyle w:val="Brdtext-RJH"/>
        <w:rPr>
          <w:rStyle w:val="eop"/>
          <w:rFonts w:cs="Segoe UI"/>
        </w:rPr>
      </w:pPr>
      <w:r>
        <w:rPr>
          <w:rStyle w:val="normaltextrun"/>
          <w:rFonts w:cs="Segoe UI"/>
        </w:rPr>
        <w:t>När det finns beslut om att patient ska hänvisas direkt till en specifik vårdenhet ska detta dokumenter</w:t>
      </w:r>
      <w:r>
        <w:rPr>
          <w:rStyle w:val="normaltextrun"/>
          <w:rFonts w:cs="Segoe UI"/>
        </w:rPr>
        <w:t>as i Uppmärksamhetssignalen. Detta gäller exempelvis att patient kan tas in direkt på en avdelning eller enhet utan att passera exempelvis akuten. Namn och beteckning på den specifika vårdenheten ska anges. </w:t>
      </w:r>
      <w:r>
        <w:rPr>
          <w:rStyle w:val="eop"/>
          <w:rFonts w:cs="Segoe UI"/>
        </w:rPr>
        <w:t> </w:t>
      </w:r>
    </w:p>
    <w:p w:rsidR="00C13112" w:rsidRPr="00C13112" w:rsidP="00C13112" w14:paraId="1CF3D77A" w14:textId="77777777">
      <w:pPr>
        <w:pStyle w:val="Heading2"/>
      </w:pPr>
      <w:r w:rsidRPr="00C13112">
        <w:rPr>
          <w:rStyle w:val="normaltextrun"/>
        </w:rPr>
        <w:t>Medicinskt tillstånd och behandling</w:t>
      </w:r>
      <w:r w:rsidRPr="00C13112">
        <w:rPr>
          <w:rStyle w:val="eop"/>
        </w:rPr>
        <w:t> </w:t>
      </w:r>
    </w:p>
    <w:p w:rsidR="00C13112" w:rsidP="0036540E" w14:paraId="519E18AB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Medicinska tillstånd och behandlingar som, om de inte är kända för hälso- och sjukvårdspersonal, medför allvarligt hot mot patientens liv eller hälsa, eller riskfaktorer som måste uppmärksammas, ska registreras i Uppmärksamhetssignalen. </w:t>
      </w:r>
      <w:r>
        <w:rPr>
          <w:rStyle w:val="eop"/>
          <w:rFonts w:cs="Segoe UI"/>
        </w:rPr>
        <w:t> </w:t>
      </w:r>
    </w:p>
    <w:p w:rsidR="00C13112" w:rsidP="00C13112" w14:paraId="39253E8C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Medicinskt tillst</w:t>
      </w:r>
      <w:r>
        <w:rPr>
          <w:rStyle w:val="normaltextrun"/>
          <w:rFonts w:cs="Segoe UI"/>
        </w:rPr>
        <w:t>ånd - Implantat </w:t>
      </w:r>
      <w:r>
        <w:rPr>
          <w:rStyle w:val="eop"/>
          <w:rFonts w:cs="Segoe UI"/>
        </w:rPr>
        <w:t> </w:t>
      </w:r>
    </w:p>
    <w:p w:rsidR="00C13112" w:rsidP="0036540E" w14:paraId="64DD664F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 xml:space="preserve">Dokumentation av implantat ska ske genom val ur listan för Medicinskt tillstånd – Implantat. Implantat bör också dokumenteras i Gemensamma dokument / Tidigare och nuvarande sjukdomar, vilket även gäller relevanta implantat som ej finns i </w:t>
      </w:r>
      <w:r>
        <w:rPr>
          <w:rStyle w:val="normaltextrun"/>
          <w:rFonts w:cs="Segoe UI"/>
        </w:rPr>
        <w:t>vallistan i Uppmärksamhetssignalen.</w:t>
      </w:r>
      <w:r>
        <w:rPr>
          <w:rStyle w:val="eop"/>
          <w:rFonts w:cs="Segoe UI"/>
        </w:rPr>
        <w:t> </w:t>
      </w:r>
    </w:p>
    <w:p w:rsidR="00C13112" w:rsidP="00C13112" w14:paraId="1CAAE2A8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Medicinskt tillstånd - Transplantat </w:t>
      </w:r>
      <w:r>
        <w:rPr>
          <w:rStyle w:val="eop"/>
          <w:rFonts w:cs="Segoe UI"/>
        </w:rPr>
        <w:t> </w:t>
      </w:r>
    </w:p>
    <w:p w:rsidR="00C13112" w:rsidP="0036540E" w14:paraId="62C60778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Dokumentation av transplantat ska ske genom val ur listan för Medicinskt tillstånd – Transplantat. Transplantat bör också dokumenteras i Gemensamma dokument / Tidigare och nuvarande</w:t>
      </w:r>
      <w:r>
        <w:rPr>
          <w:rStyle w:val="normaltextrun"/>
          <w:rFonts w:cs="Segoe UI"/>
        </w:rPr>
        <w:t xml:space="preserve"> sjukdomar. </w:t>
      </w:r>
      <w:r>
        <w:rPr>
          <w:rStyle w:val="eop"/>
          <w:rFonts w:cs="Segoe UI"/>
        </w:rPr>
        <w:t> </w:t>
      </w:r>
    </w:p>
    <w:p w:rsidR="00C13112" w:rsidP="00C13112" w14:paraId="62196886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Medicinskt tillstånd - Annat medicinskt tillstånd </w:t>
      </w:r>
      <w:r>
        <w:rPr>
          <w:rStyle w:val="eop"/>
          <w:rFonts w:cs="Segoe UI"/>
        </w:rPr>
        <w:t> </w:t>
      </w:r>
    </w:p>
    <w:p w:rsidR="00C13112" w:rsidP="0036540E" w14:paraId="03CBC608" w14:textId="77777777">
      <w:pPr>
        <w:pStyle w:val="Brdtext-RJH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Dokumentation av annat medicinskt tillstånd ska ske genom val ur listan för Medicinskt tillstånd – Annat medicinskt tillstånd. Medicinska tillstånd bör också dokumenteras i Gemensamma dokume</w:t>
      </w:r>
      <w:r>
        <w:rPr>
          <w:rStyle w:val="normaltextrun"/>
          <w:rFonts w:cs="Segoe UI"/>
        </w:rPr>
        <w:t>nt / Tidigare och nuvarande sjukdomar, vilket även gäller relevanta medicinska tillstånd som ej finns i vallistan i Uppmärksamhetssignalen.</w:t>
      </w:r>
      <w:r>
        <w:rPr>
          <w:rStyle w:val="eop"/>
          <w:rFonts w:cs="Segoe UI"/>
        </w:rPr>
        <w:t> </w:t>
      </w:r>
    </w:p>
    <w:p w:rsidR="00C13112" w:rsidP="00C13112" w14:paraId="3B78E338" w14:textId="77777777">
      <w:pPr>
        <w:pStyle w:val="Heading3"/>
        <w:rPr>
          <w:rFonts w:ascii="Segoe UI" w:hAnsi="Segoe UI"/>
          <w:sz w:val="18"/>
          <w:szCs w:val="18"/>
        </w:rPr>
      </w:pPr>
      <w:r>
        <w:rPr>
          <w:rStyle w:val="normaltextrun"/>
          <w:rFonts w:cs="Segoe UI"/>
        </w:rPr>
        <w:t>Behandling </w:t>
      </w:r>
      <w:r>
        <w:rPr>
          <w:rStyle w:val="eop"/>
          <w:rFonts w:cs="Segoe UI"/>
        </w:rPr>
        <w:t> </w:t>
      </w:r>
    </w:p>
    <w:p w:rsidR="004B0DEE" w:rsidP="0036540E" w14:paraId="27B1ABAB" w14:textId="77777777">
      <w:pPr>
        <w:pStyle w:val="Brdtext-RJH"/>
        <w:rPr>
          <w:rStyle w:val="normaltextrun"/>
          <w:rFonts w:cs="Segoe UI"/>
          <w:lang w:val="sv-SE"/>
        </w:rPr>
      </w:pPr>
      <w:r>
        <w:rPr>
          <w:rStyle w:val="normaltextrun"/>
          <w:rFonts w:cs="Segoe UI"/>
        </w:rPr>
        <w:t>Dokumentation av </w:t>
      </w:r>
      <w:r>
        <w:rPr>
          <w:rStyle w:val="normaltextrun"/>
          <w:rFonts w:cs="Segoe UI"/>
          <w:lang w:val="sv-SE"/>
        </w:rPr>
        <w:t>C</w:t>
      </w:r>
      <w:r>
        <w:rPr>
          <w:rStyle w:val="normaltextrun"/>
          <w:rFonts w:cs="Segoe UI"/>
        </w:rPr>
        <w:t xml:space="preserve">ytostatikabehandling, behandling med </w:t>
      </w:r>
      <w:r>
        <w:rPr>
          <w:rStyle w:val="normaltextrun"/>
          <w:rFonts w:cs="Segoe UI"/>
          <w:lang w:val="sv-SE"/>
        </w:rPr>
        <w:t>I</w:t>
      </w:r>
      <w:r>
        <w:rPr>
          <w:rStyle w:val="normaltextrun"/>
          <w:rFonts w:cs="Segoe UI"/>
        </w:rPr>
        <w:t xml:space="preserve">mmunstimulerande medel och </w:t>
      </w:r>
      <w:r>
        <w:rPr>
          <w:rStyle w:val="normaltextrun"/>
          <w:rFonts w:cs="Segoe UI"/>
          <w:lang w:val="sv-SE"/>
        </w:rPr>
        <w:t>I</w:t>
      </w:r>
      <w:r>
        <w:rPr>
          <w:rStyle w:val="normaltextrun"/>
          <w:rFonts w:cs="Segoe UI"/>
        </w:rPr>
        <w:t>mmunsuppressiva me</w:t>
      </w:r>
      <w:r>
        <w:rPr>
          <w:rStyle w:val="normaltextrun"/>
          <w:rFonts w:cs="Segoe UI"/>
        </w:rPr>
        <w:t>del, </w:t>
      </w:r>
      <w:r>
        <w:rPr>
          <w:rStyle w:val="normaltextrun"/>
          <w:rFonts w:cs="Segoe UI"/>
          <w:lang w:val="sv-SE"/>
        </w:rPr>
        <w:t>D</w:t>
      </w:r>
      <w:r>
        <w:rPr>
          <w:rStyle w:val="normaltextrun"/>
          <w:rFonts w:cs="Segoe UI"/>
        </w:rPr>
        <w:t xml:space="preserve">ialysbehandling samt </w:t>
      </w:r>
      <w:r>
        <w:rPr>
          <w:rStyle w:val="normaltextrun"/>
          <w:rFonts w:cs="Segoe UI"/>
          <w:lang w:val="sv-SE"/>
        </w:rPr>
        <w:t>B</w:t>
      </w:r>
      <w:r>
        <w:rPr>
          <w:rStyle w:val="normaltextrun"/>
          <w:rFonts w:cs="Segoe UI"/>
        </w:rPr>
        <w:t>eroende av icke-invasiv ventilation ska läggas in under respektive val under Behandlingar. </w:t>
      </w:r>
      <w:r w:rsidR="00EE37AC">
        <w:rPr>
          <w:rStyle w:val="normaltextrun"/>
          <w:rFonts w:cs="Segoe UI"/>
          <w:lang w:val="sv-SE"/>
        </w:rPr>
        <w:t xml:space="preserve"> </w:t>
      </w:r>
    </w:p>
    <w:p w:rsidR="00C13112" w:rsidP="0036540E" w14:paraId="66138E2B" w14:textId="77777777">
      <w:pPr>
        <w:pStyle w:val="Brdtext-RJH"/>
        <w:rPr>
          <w:rStyle w:val="scxw157389703"/>
          <w:rFonts w:cs="Segoe UI"/>
        </w:rPr>
      </w:pPr>
      <w:r>
        <w:rPr>
          <w:rStyle w:val="normaltextrun"/>
          <w:rFonts w:cs="Segoe UI"/>
        </w:rPr>
        <w:t>Behandlingar bör också dokumenteras i Gemensamma dokument / Tidigare och nuvarande sjukdomar, vilket även gäller relevanta behandlingar</w:t>
      </w:r>
      <w:r>
        <w:rPr>
          <w:rStyle w:val="normaltextrun"/>
          <w:rFonts w:cs="Segoe UI"/>
        </w:rPr>
        <w:t xml:space="preserve"> som ej finns i vallistan i Uppmärksamhetssignalen. </w:t>
      </w:r>
      <w:r>
        <w:rPr>
          <w:rStyle w:val="scxw157389703"/>
          <w:rFonts w:cs="Segoe UI"/>
        </w:rPr>
        <w:t> </w:t>
      </w:r>
    </w:p>
    <w:p w:rsidR="00C13112" w:rsidRPr="00C13112" w:rsidP="00C13112" w14:paraId="1741F9AA" w14:textId="77777777">
      <w:pPr>
        <w:pStyle w:val="Heading1"/>
      </w:pPr>
      <w:r w:rsidRPr="00C13112">
        <w:rPr>
          <w:rStyle w:val="normaltextrun"/>
        </w:rPr>
        <w:t>Överföring av information från Ej strukturanpassad uppmärksamhetsinformation </w:t>
      </w:r>
      <w:r w:rsidRPr="00C13112">
        <w:rPr>
          <w:rStyle w:val="eop"/>
        </w:rPr>
        <w:t> </w:t>
      </w:r>
    </w:p>
    <w:p w:rsidR="00F45001" w:rsidRPr="0036540E" w:rsidP="0036540E" w14:paraId="5913B3C4" w14:textId="77777777">
      <w:pPr>
        <w:pStyle w:val="Brdtext-RJH"/>
        <w:rPr>
          <w:rFonts w:ascii="Segoe UI" w:eastAsia="Times New Roman" w:hAnsi="Segoe UI"/>
          <w:sz w:val="18"/>
          <w:szCs w:val="18"/>
        </w:rPr>
      </w:pPr>
      <w:r>
        <w:rPr>
          <w:rStyle w:val="normaltextrun"/>
          <w:rFonts w:cs="Segoe UI"/>
        </w:rPr>
        <w:t xml:space="preserve">Alla läkare har ett gemensamt ansvar för att föra över information från Ej strukturanpassad uppmärksamhetsinformation till </w:t>
      </w:r>
      <w:r>
        <w:rPr>
          <w:rStyle w:val="normaltextrun"/>
          <w:rFonts w:cs="Segoe UI"/>
        </w:rPr>
        <w:t xml:space="preserve">korrekt plats i Uppmärksamhetssignalen. Den information som inte längre bedöms som uppmärksamhetsinformation, det vill säga inte har någon korrekt plats, ska Makuleras och kan dokumenteras i Gemensamma dokument. </w:t>
      </w:r>
      <w:r w:rsidR="00096ABE">
        <w:rPr>
          <w:rStyle w:val="normaltextrun"/>
          <w:rFonts w:cs="Segoe UI"/>
        </w:rPr>
        <w:t>I</w:t>
      </w:r>
      <w:r>
        <w:rPr>
          <w:rStyle w:val="normaltextrun"/>
          <w:rFonts w:cs="Segoe UI"/>
        </w:rPr>
        <w:t>nformation som inte längre är aktuell ska</w:t>
      </w:r>
      <w:r w:rsidR="00096ABE">
        <w:rPr>
          <w:rStyle w:val="normaltextrun"/>
          <w:rFonts w:cs="Segoe UI"/>
        </w:rPr>
        <w:t xml:space="preserve"> också</w:t>
      </w:r>
      <w:r>
        <w:rPr>
          <w:rStyle w:val="normaltextrun"/>
          <w:rFonts w:cs="Segoe UI"/>
        </w:rPr>
        <w:t xml:space="preserve"> Makuleras.</w:t>
      </w:r>
      <w:r>
        <w:rPr>
          <w:rStyle w:val="eop"/>
          <w:rFonts w:cs="Segoe UI"/>
        </w:rPr>
        <w:t> </w:t>
      </w:r>
    </w:p>
    <w:sectPr w:rsidSect="00E33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852" w14:paraId="272A97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35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119"/>
      <w:gridCol w:w="3827"/>
      <w:gridCol w:w="981"/>
      <w:gridCol w:w="857"/>
    </w:tblGrid>
    <w:tr w14:paraId="568E56C0" w14:textId="77777777" w:rsidTr="00E64852">
      <w:tblPrEx>
        <w:tblW w:w="935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686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F45001" w:rsidP="00F45001" w14:paraId="26570F4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3827" w:type="dxa"/>
          <w:shd w:val="clear" w:color="auto" w:fill="FFFFFF"/>
        </w:tcPr>
        <w:p w:rsidR="00F45001" w:rsidRPr="00F45001" w:rsidP="00F45001" w14:paraId="74F1372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GRANSKA</w:t>
          </w:r>
          <w:r w:rsidR="00291BB6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T</w:t>
          </w: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 xml:space="preserve"> AV</w:t>
          </w:r>
        </w:p>
      </w:tc>
      <w:tc>
        <w:tcPr>
          <w:tcW w:w="1838" w:type="dxa"/>
          <w:gridSpan w:val="2"/>
          <w:shd w:val="clear" w:color="auto" w:fill="FFFFFF"/>
        </w:tcPr>
        <w:p w:rsidR="00F45001" w:rsidRPr="00F45001" w:rsidP="00F45001" w14:paraId="64DEE89A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Arial" w:hAnsi="Arial" w:cs="Arial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75E45AEB" w14:textId="77777777" w:rsidTr="00E64852">
      <w:tblPrEx>
        <w:tblW w:w="9351" w:type="dxa"/>
        <w:tblInd w:w="-567" w:type="dxa"/>
        <w:tblLook w:val="04A0"/>
      </w:tblPrEx>
      <w:trPr>
        <w:trHeight w:val="263"/>
      </w:trPr>
      <w:tc>
        <w:tcPr>
          <w:tcW w:w="3686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F45001" w:rsidP="00F45001" w14:paraId="2DA2F8CA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C_Approvers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Anna Granevärn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F45001" w:rsidP="00F45001" w14:paraId="602F2C95" w14:textId="77777777">
          <w:pPr>
            <w:spacing w:after="100" w:line="260" w:lineRule="atLeast"/>
            <w:jc w:val="center"/>
            <w:rPr>
              <w:rFonts w:ascii="Verdana" w:hAnsi="Verdana"/>
              <w:sz w:val="13"/>
              <w:szCs w:val="13"/>
              <w:lang w:eastAsia="sv-SE"/>
            </w:rPr>
          </w:pPr>
        </w:p>
      </w:tc>
      <w:tc>
        <w:tcPr>
          <w:tcW w:w="3827" w:type="dxa"/>
          <w:shd w:val="clear" w:color="auto" w:fill="FFFFFF"/>
        </w:tcPr>
        <w:p w:rsidR="00F45001" w:rsidRPr="00F45001" w:rsidP="00F45001" w14:paraId="0CCE29BF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Verdana" w:hAnsi="Verdana"/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C_Reviewers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Cornelia Orhagen Brusmark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838" w:type="dxa"/>
          <w:gridSpan w:val="2"/>
          <w:shd w:val="clear" w:color="auto" w:fill="FFFFFF"/>
        </w:tcPr>
        <w:p w:rsidR="00F45001" w:rsidRPr="00F45001" w:rsidP="00F45001" w14:paraId="5C244127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Verdana" w:hAnsi="Verdana"/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C_ValidFrom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2023-10-27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6EA4D422" w14:textId="77777777" w:rsidTr="00E64852">
      <w:tblPrEx>
        <w:tblW w:w="9351" w:type="dxa"/>
        <w:tblInd w:w="-567" w:type="dxa"/>
        <w:tblLook w:val="04A0"/>
      </w:tblPrEx>
      <w:trPr>
        <w:gridBefore w:val="1"/>
        <w:gridAfter w:val="1"/>
        <w:wBefore w:w="567" w:type="dxa"/>
        <w:wAfter w:w="857" w:type="dxa"/>
      </w:trPr>
      <w:tc>
        <w:tcPr>
          <w:tcW w:w="7927" w:type="dxa"/>
          <w:gridSpan w:val="3"/>
          <w:tcMar>
            <w:left w:w="0" w:type="dxa"/>
            <w:right w:w="0" w:type="dxa"/>
          </w:tcMar>
        </w:tcPr>
        <w:p w:rsidR="00F45001" w:rsidRPr="00F45001" w:rsidP="00F45001" w14:paraId="5480DCD6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="Verdana" w:hAnsi="Verdana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</w:t>
          </w:r>
          <w:r w:rsidRPr="00F45001">
            <w:rPr>
              <w:rFonts w:ascii="Verdana" w:hAnsi="Verdana"/>
              <w:sz w:val="13"/>
              <w:szCs w:val="13"/>
              <w:lang w:eastAsia="sv-SE"/>
            </w:rPr>
            <w:t>.</w:t>
          </w:r>
        </w:p>
      </w:tc>
    </w:tr>
  </w:tbl>
  <w:p w:rsidR="00F45001" w:rsidRPr="00F45001" w:rsidP="00F45001" w14:paraId="446B06C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59AC" w14:paraId="342EF040" w14:textId="77777777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5379085</wp:posOffset>
          </wp:positionH>
          <wp:positionV relativeFrom="page">
            <wp:posOffset>9746615</wp:posOffset>
          </wp:positionV>
          <wp:extent cx="1753200" cy="673200"/>
          <wp:effectExtent l="0" t="0" r="0" b="0"/>
          <wp:wrapNone/>
          <wp:docPr id="76060607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606071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852" w14:paraId="4CB1BC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3136E2E2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6007B0C0" w14:textId="77777777" w:rsidTr="00E33AE4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B4E31" w:rsidP="00982122" w14:paraId="21AABD6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2E313FA9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instrText xml:space="preserve"> DOCPROPERTY C_Workflow \* MERGEFORMAT \*Upper </w:instrTex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separate"/>
          </w:r>
          <w:r w:rsidRPr="00F45001" w:rsidR="00F4500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5A7792" w:rsidRPr="008877DB" w:rsidP="005C5B00" w14:paraId="3263FA0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olor w:val="7F7F7F"/>
              <w:sz w:val="13"/>
            </w:rPr>
            <w:instrText xml:space="preserve"> DOCPROPERTY C_Title \* MERGEFORMAT \* FirstCap </w:instrTex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separate"/>
          </w:r>
          <w:r w:rsidR="00F45001">
            <w:rPr>
              <w:rFonts w:asciiTheme="minorHAnsi" w:hAnsiTheme="minorHAnsi" w:cstheme="minorHAnsi"/>
              <w:color w:val="7F7F7F"/>
              <w:sz w:val="13"/>
            </w:rPr>
            <w:t>Uppmärksamhetssignalen i Cosmic - Rutin för dokumentation</w: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407CC5C0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1D127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5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 w:rsidR="00291BB6">
            <w:rPr>
              <w:rFonts w:cstheme="minorHAnsi"/>
              <w:noProof/>
              <w:color w:val="7F7F7F"/>
              <w:sz w:val="13"/>
            </w:rPr>
            <w:fldChar w:fldCharType="begin"/>
          </w:r>
          <w:r w:rsidR="00291BB6">
            <w:rPr>
              <w:rFonts w:cstheme="minorHAnsi"/>
              <w:noProof/>
              <w:color w:val="7F7F7F"/>
              <w:sz w:val="13"/>
            </w:rPr>
            <w:instrText xml:space="preserve"> NUMPAGES  \* Arabic  \* MERGEFORMAT </w:instrText>
          </w:r>
          <w:r w:rsidR="00291BB6">
            <w:rPr>
              <w:rFonts w:cstheme="minorHAnsi"/>
              <w:noProof/>
              <w:color w:val="7F7F7F"/>
              <w:sz w:val="13"/>
            </w:rPr>
            <w:fldChar w:fldCharType="separate"/>
          </w:r>
          <w:r w:rsidRPr="001D127A" w:rsidR="001D127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5</w:t>
          </w:r>
          <w:r w:rsidR="00291BB6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5A7792" w:rsidRPr="008877DB" w:rsidP="005C5B00" w14:paraId="0DBB285A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C_DocumentNumber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F45001">
            <w:rPr>
              <w:rFonts w:cstheme="minorHAnsi"/>
              <w:color w:val="7F7F7F"/>
              <w:sz w:val="13"/>
            </w:rPr>
            <w:t>36344-6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3757FDA1" w14:textId="77777777" w:rsidTr="00E33AE4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877DB" w:rsidP="005C5B00" w14:paraId="2214AE76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F45001">
            <w:rPr>
              <w:rFonts w:cstheme="minorHAnsi"/>
              <w:color w:val="7F7F7F"/>
              <w:sz w:val="13"/>
            </w:rPr>
            <w:t>Utvecklings- och digitaliseringsenheten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877DB" w:rsidP="005A7792" w14:paraId="0E75B040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 w:rsidR="00A67FE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 w:rsidR="00A67FE1">
            <w:rPr>
              <w:rFonts w:cstheme="minorHAnsi"/>
              <w:color w:val="7F7F7F"/>
              <w:sz w:val="13"/>
            </w:rPr>
            <w:t>Helena Öhlén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B4E31" w:rsidP="00982122" w14:paraId="53F73062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4D081517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5A7792" w:rsidRPr="008B4E31" w:rsidP="00982122" w14:paraId="4A1DE600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5A7792" w:rsidRPr="008B4E31" w:rsidP="005C5B00" w14:paraId="780D7540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45A9DA30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5BEA702F" w14:textId="77777777">
    <w:pPr>
      <w:pStyle w:val="Header"/>
      <w:tabs>
        <w:tab w:val="left" w:pos="2085"/>
        <w:tab w:val="clear" w:pos="4536"/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86ACE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0"/>
  </w:compat>
  <w:rsids>
    <w:rsidRoot w:val="00F45001"/>
    <w:rsid w:val="00003DD7"/>
    <w:rsid w:val="000364F5"/>
    <w:rsid w:val="0004443D"/>
    <w:rsid w:val="000559F7"/>
    <w:rsid w:val="00060C2E"/>
    <w:rsid w:val="00077AB2"/>
    <w:rsid w:val="0009433F"/>
    <w:rsid w:val="00096ABE"/>
    <w:rsid w:val="000A38B7"/>
    <w:rsid w:val="000B7CDE"/>
    <w:rsid w:val="000C2EF5"/>
    <w:rsid w:val="000C4469"/>
    <w:rsid w:val="000E2329"/>
    <w:rsid w:val="00104041"/>
    <w:rsid w:val="001121C1"/>
    <w:rsid w:val="00117EB6"/>
    <w:rsid w:val="00121764"/>
    <w:rsid w:val="00136754"/>
    <w:rsid w:val="0018483D"/>
    <w:rsid w:val="00190847"/>
    <w:rsid w:val="00190C5E"/>
    <w:rsid w:val="001B0D52"/>
    <w:rsid w:val="001B1282"/>
    <w:rsid w:val="001B58E8"/>
    <w:rsid w:val="001B7097"/>
    <w:rsid w:val="001B71DC"/>
    <w:rsid w:val="001D127A"/>
    <w:rsid w:val="001E0838"/>
    <w:rsid w:val="001E1BEB"/>
    <w:rsid w:val="001F0210"/>
    <w:rsid w:val="00200E84"/>
    <w:rsid w:val="00217CC4"/>
    <w:rsid w:val="00217E45"/>
    <w:rsid w:val="0022259F"/>
    <w:rsid w:val="00225FFD"/>
    <w:rsid w:val="002323F6"/>
    <w:rsid w:val="0024266E"/>
    <w:rsid w:val="00242BFD"/>
    <w:rsid w:val="00254863"/>
    <w:rsid w:val="0025598C"/>
    <w:rsid w:val="0025719F"/>
    <w:rsid w:val="0026281E"/>
    <w:rsid w:val="00275969"/>
    <w:rsid w:val="00275CC7"/>
    <w:rsid w:val="00280384"/>
    <w:rsid w:val="00291BB6"/>
    <w:rsid w:val="00293FE9"/>
    <w:rsid w:val="002E598A"/>
    <w:rsid w:val="002E7947"/>
    <w:rsid w:val="002F00BE"/>
    <w:rsid w:val="002F7BA4"/>
    <w:rsid w:val="00306959"/>
    <w:rsid w:val="00310DCB"/>
    <w:rsid w:val="0031484C"/>
    <w:rsid w:val="003151F4"/>
    <w:rsid w:val="003270B9"/>
    <w:rsid w:val="0035326B"/>
    <w:rsid w:val="00360B84"/>
    <w:rsid w:val="0036540E"/>
    <w:rsid w:val="00375A00"/>
    <w:rsid w:val="003841CF"/>
    <w:rsid w:val="003B00D6"/>
    <w:rsid w:val="003D1991"/>
    <w:rsid w:val="003E6ED2"/>
    <w:rsid w:val="003F5483"/>
    <w:rsid w:val="003F6EEC"/>
    <w:rsid w:val="003F700D"/>
    <w:rsid w:val="004446DE"/>
    <w:rsid w:val="00447366"/>
    <w:rsid w:val="0045201F"/>
    <w:rsid w:val="0045632E"/>
    <w:rsid w:val="004569FA"/>
    <w:rsid w:val="0046708B"/>
    <w:rsid w:val="00475373"/>
    <w:rsid w:val="00480C76"/>
    <w:rsid w:val="00486302"/>
    <w:rsid w:val="004B0DEE"/>
    <w:rsid w:val="004D0E98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052E"/>
    <w:rsid w:val="005831EF"/>
    <w:rsid w:val="005939B5"/>
    <w:rsid w:val="00594684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759FC"/>
    <w:rsid w:val="006869DF"/>
    <w:rsid w:val="006B4615"/>
    <w:rsid w:val="006D4CA5"/>
    <w:rsid w:val="00726191"/>
    <w:rsid w:val="0073162A"/>
    <w:rsid w:val="0074542B"/>
    <w:rsid w:val="00755B00"/>
    <w:rsid w:val="00765F42"/>
    <w:rsid w:val="00770681"/>
    <w:rsid w:val="00771348"/>
    <w:rsid w:val="00795451"/>
    <w:rsid w:val="007A4E68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77DB"/>
    <w:rsid w:val="00893966"/>
    <w:rsid w:val="008B4E31"/>
    <w:rsid w:val="008C391F"/>
    <w:rsid w:val="008E1783"/>
    <w:rsid w:val="009057ED"/>
    <w:rsid w:val="009112F5"/>
    <w:rsid w:val="00934B35"/>
    <w:rsid w:val="00940225"/>
    <w:rsid w:val="0095109C"/>
    <w:rsid w:val="00952645"/>
    <w:rsid w:val="00963A91"/>
    <w:rsid w:val="00982122"/>
    <w:rsid w:val="00985EE2"/>
    <w:rsid w:val="009B6439"/>
    <w:rsid w:val="009C60CD"/>
    <w:rsid w:val="009D3F94"/>
    <w:rsid w:val="009E07A4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6296F"/>
    <w:rsid w:val="00B87B4F"/>
    <w:rsid w:val="00BC0851"/>
    <w:rsid w:val="00BE1AD0"/>
    <w:rsid w:val="00BE2068"/>
    <w:rsid w:val="00BE39E8"/>
    <w:rsid w:val="00BE6E2C"/>
    <w:rsid w:val="00BE7284"/>
    <w:rsid w:val="00BF74CB"/>
    <w:rsid w:val="00C010BC"/>
    <w:rsid w:val="00C1280A"/>
    <w:rsid w:val="00C13112"/>
    <w:rsid w:val="00C348DB"/>
    <w:rsid w:val="00C83701"/>
    <w:rsid w:val="00C949DA"/>
    <w:rsid w:val="00C95FF0"/>
    <w:rsid w:val="00CC55ED"/>
    <w:rsid w:val="00CD0A1E"/>
    <w:rsid w:val="00D04789"/>
    <w:rsid w:val="00D14DDB"/>
    <w:rsid w:val="00D21159"/>
    <w:rsid w:val="00D22B89"/>
    <w:rsid w:val="00D27B3D"/>
    <w:rsid w:val="00D46D41"/>
    <w:rsid w:val="00D53AA4"/>
    <w:rsid w:val="00D553E0"/>
    <w:rsid w:val="00D57221"/>
    <w:rsid w:val="00D70829"/>
    <w:rsid w:val="00D7086E"/>
    <w:rsid w:val="00D93BBF"/>
    <w:rsid w:val="00D969C7"/>
    <w:rsid w:val="00DA107F"/>
    <w:rsid w:val="00DA47E7"/>
    <w:rsid w:val="00DC2069"/>
    <w:rsid w:val="00DD0DBC"/>
    <w:rsid w:val="00DD59AC"/>
    <w:rsid w:val="00DE67D1"/>
    <w:rsid w:val="00E33AE4"/>
    <w:rsid w:val="00E409A6"/>
    <w:rsid w:val="00E42AE0"/>
    <w:rsid w:val="00E47EFD"/>
    <w:rsid w:val="00E5537A"/>
    <w:rsid w:val="00E61872"/>
    <w:rsid w:val="00E64852"/>
    <w:rsid w:val="00E6548E"/>
    <w:rsid w:val="00E65DA0"/>
    <w:rsid w:val="00E704D0"/>
    <w:rsid w:val="00E97CE5"/>
    <w:rsid w:val="00EC3D78"/>
    <w:rsid w:val="00EC5E23"/>
    <w:rsid w:val="00EC61C0"/>
    <w:rsid w:val="00EE37AC"/>
    <w:rsid w:val="00EF42A6"/>
    <w:rsid w:val="00F0786B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33D3"/>
    <w:rsid w:val="00FA483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1DF3E0-A2C9-4D1C-8060-CA696B7C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numPr>
        <w:numId w:val="22"/>
      </w:numPr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numPr>
        <w:ilvl w:val="1"/>
        <w:numId w:val="22"/>
      </w:numPr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numPr>
        <w:ilvl w:val="2"/>
        <w:numId w:val="22"/>
      </w:numPr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numPr>
        <w:ilvl w:val="3"/>
        <w:numId w:val="22"/>
      </w:numPr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rsid w:val="00E64852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4B6B0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rsid w:val="00E64852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B6B00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rsid w:val="00E64852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rsid w:val="00E64852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E64852"/>
    <w:pPr>
      <w:tabs>
        <w:tab w:val="left" w:pos="660"/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rdtextRJH">
    <w:name w:val="Brödtext RJH"/>
    <w:qFormat/>
    <w:rsid w:val="007A4E68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64852"/>
    <w:rPr>
      <w:rFonts w:asciiTheme="majorHAnsi" w:eastAsiaTheme="majorEastAsia" w:hAnsiTheme="majorHAnsi" w:cstheme="majorBidi"/>
      <w:color w:val="4B6B0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64852"/>
    <w:rPr>
      <w:rFonts w:asciiTheme="majorHAnsi" w:eastAsiaTheme="majorEastAsia" w:hAnsiTheme="majorHAnsi" w:cstheme="majorBidi"/>
      <w:i/>
      <w:iCs/>
      <w:color w:val="4B6B00" w:themeColor="accent1" w:themeShade="7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64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64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E409A6"/>
  </w:style>
  <w:style w:type="character" w:customStyle="1" w:styleId="eop">
    <w:name w:val="eop"/>
    <w:basedOn w:val="DefaultParagraphFont"/>
    <w:rsid w:val="00E409A6"/>
  </w:style>
  <w:style w:type="paragraph" w:customStyle="1" w:styleId="paragraph">
    <w:name w:val="paragraph"/>
    <w:basedOn w:val="Normal"/>
    <w:rsid w:val="00E409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xw157389703">
    <w:name w:val="scxw157389703"/>
    <w:basedOn w:val="DefaultParagraphFont"/>
    <w:rsid w:val="00C13112"/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E08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yperlink" Target="https://rjh.centuri.se/RegNo/32193" TargetMode="External" /><Relationship Id="rId8" Type="http://schemas.openxmlformats.org/officeDocument/2006/relationships/hyperlink" Target="https://rjh.centuri.se/RegNo/75175" TargetMode="External" /><Relationship Id="rId9" Type="http://schemas.openxmlformats.org/officeDocument/2006/relationships/hyperlink" Target="https://rjh.centuri.se/RegNo/40239" TargetMode="Externa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EFACF4-6863-40A2-8F0F-B87E7CEA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1512</Words>
  <Characters>8014</Characters>
  <Application>Microsoft Office Word</Application>
  <DocSecurity>8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Helena Öhlén</cp:lastModifiedBy>
  <cp:revision>7</cp:revision>
  <cp:lastPrinted>2015-10-27T14:22:00Z</cp:lastPrinted>
  <dcterms:created xsi:type="dcterms:W3CDTF">2019-01-10T15:14:00Z</dcterms:created>
  <dcterms:modified xsi:type="dcterms:W3CDTF">2023-09-21T09:10:00Z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https://rjh.centuri.se:443/command/workflow/36344/comment</vt:lpwstr>
  </property>
  <property fmtid="{D5CDD505-2E9C-101B-9397-08002B2CF9AE}" pid="3" name="C_Approved">
    <vt:lpwstr>2023-09-29</vt:lpwstr>
  </property>
  <property fmtid="{D5CDD505-2E9C-101B-9397-08002B2CF9AE}" pid="4" name="C_ApprovedDate">
    <vt:lpwstr>2023-09-29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2024-10-27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2023-09-20</vt:lpwstr>
  </property>
  <property fmtid="{D5CDD505-2E9C-101B-9397-08002B2CF9AE}" pid="16" name="C_CreatedBy">
    <vt:lpwstr>Helena Öhlén</vt:lpwstr>
  </property>
  <property fmtid="{D5CDD505-2E9C-101B-9397-08002B2CF9AE}" pid="17" name="C_CreatedBy_JobTitle">
    <vt:lpwstr/>
  </property>
  <property fmtid="{D5CDD505-2E9C-101B-9397-08002B2CF9AE}" pid="18" name="C_CreatedBy_WorkUnit">
    <vt:lpwstr>Utvecklings- och digitaliseringsenheten</vt:lpwstr>
  </property>
  <property fmtid="{D5CDD505-2E9C-101B-9397-08002B2CF9AE}" pid="19" name="C_CreatedBy_WorkUnitPath">
    <vt:lpwstr>Region Jämtland Härjedalen / Regionstab / Forsknings- utbildnings- och utvecklingsavdelningen / Utvecklings- och digitaliseringsenheten</vt:lpwstr>
  </property>
  <property fmtid="{D5CDD505-2E9C-101B-9397-08002B2CF9AE}" pid="20" name="C_CreatedDate">
    <vt:lpwstr>2023-09-20</vt:lpwstr>
  </property>
  <property fmtid="{D5CDD505-2E9C-101B-9397-08002B2CF9AE}" pid="21" name="C_Description">
    <vt:lpwstr>Rutin för hur information dokumenteras i uppmärksamhetssymbolen (UMS) i Cosmic.</vt:lpwstr>
  </property>
  <property fmtid="{D5CDD505-2E9C-101B-9397-08002B2CF9AE}" pid="22" name="C_DocumentNumber">
    <vt:lpwstr>36344-6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6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https://rjh.centuri.se:443/RegNo/36344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https://rjh.centuri.se:443/Compare/36344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Helena Öhlén</vt:lpwstr>
  </property>
  <property fmtid="{D5CDD505-2E9C-101B-9397-08002B2CF9AE}" pid="41" name="C_Owners">
    <vt:lpwstr>Helena Öhlén</vt:lpwstr>
  </property>
  <property fmtid="{D5CDD505-2E9C-101B-9397-08002B2CF9AE}" pid="42" name="C_Owner_Email">
    <vt:lpwstr>helena.ohlen@regionjh.se</vt:lpwstr>
  </property>
  <property fmtid="{D5CDD505-2E9C-101B-9397-08002B2CF9AE}" pid="43" name="C_Owner_FamilyName">
    <vt:lpwstr>Öhlén</vt:lpwstr>
  </property>
  <property fmtid="{D5CDD505-2E9C-101B-9397-08002B2CF9AE}" pid="44" name="C_Owner_GivenName">
    <vt:lpwstr>Helena</vt:lpwstr>
  </property>
  <property fmtid="{D5CDD505-2E9C-101B-9397-08002B2CF9AE}" pid="45" name="C_Owner_JobTitle">
    <vt:lpwstr/>
  </property>
  <property fmtid="{D5CDD505-2E9C-101B-9397-08002B2CF9AE}" pid="46" name="C_Owner_UserName">
    <vt:lpwstr>hejo4</vt:lpwstr>
  </property>
  <property fmtid="{D5CDD505-2E9C-101B-9397-08002B2CF9AE}" pid="47" name="C_Owner_WorkUnit">
    <vt:lpwstr>Utvecklings- och digitaliseringsenheten</vt:lpwstr>
  </property>
  <property fmtid="{D5CDD505-2E9C-101B-9397-08002B2CF9AE}" pid="48" name="C_Owner_WorkUnitPath">
    <vt:lpwstr>Region Jämtland Härjedalen / Regionstab / Forsknings- utbildnings- och utvecklingsavdelningen / Utvecklings- och digitaliseringsenheten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36344</vt:lpwstr>
  </property>
  <property fmtid="{D5CDD505-2E9C-101B-9397-08002B2CF9AE}" pid="51" name="C_RegistrationNumberId">
    <vt:lpwstr>fc57dd2a-1f83-45ec-9af3-9ca0eb2bc0c9</vt:lpwstr>
  </property>
  <property fmtid="{D5CDD505-2E9C-101B-9397-08002B2CF9AE}" pid="52" name="C_RegNo">
    <vt:lpwstr>36344-6</vt:lpwstr>
  </property>
  <property fmtid="{D5CDD505-2E9C-101B-9397-08002B2CF9AE}" pid="53" name="C_Restricted">
    <vt:lpwstr>False</vt:lpwstr>
  </property>
  <property fmtid="{D5CDD505-2E9C-101B-9397-08002B2CF9AE}" pid="54" name="C_Reviewed">
    <vt:lpwstr>2023-09-29</vt:lpwstr>
  </property>
  <property fmtid="{D5CDD505-2E9C-101B-9397-08002B2CF9AE}" pid="55" name="C_ReviewedDate">
    <vt:lpwstr>2023-09-29</vt:lpwstr>
  </property>
  <property fmtid="{D5CDD505-2E9C-101B-9397-08002B2CF9AE}" pid="56" name="C_Reviewers">
    <vt:lpwstr>Cornelia Orhagen Brusmark</vt:lpwstr>
  </property>
  <property fmtid="{D5CDD505-2E9C-101B-9397-08002B2CF9AE}" pid="57" name="C_Reviewers_JobTitles">
    <vt:lpwstr/>
  </property>
  <property fmtid="{D5CDD505-2E9C-101B-9397-08002B2CF9AE}" pid="58" name="C_Reviewers_WorkUnits">
    <vt:lpwstr>Patientsäkerhet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Uppmärksamhetssignal, COSMIC</vt:lpwstr>
  </property>
  <property fmtid="{D5CDD505-2E9C-101B-9397-08002B2CF9AE}" pid="64" name="C_Template">
    <vt:lpwstr>Word-dokument med försättsblad, granskare, godkännare och giltighetstid</vt:lpwstr>
  </property>
  <property fmtid="{D5CDD505-2E9C-101B-9397-08002B2CF9AE}" pid="65" name="C_Title">
    <vt:lpwstr>Uppmärksamhetssignalen i Cosmic - Rutin för dokumentation</vt:lpwstr>
  </property>
  <property fmtid="{D5CDD505-2E9C-101B-9397-08002B2CF9AE}" pid="66" name="C_UpdatedWhen">
    <vt:lpwstr>2023-10-27</vt:lpwstr>
  </property>
  <property fmtid="{D5CDD505-2E9C-101B-9397-08002B2CF9AE}" pid="67" name="C_UpdatedWhenDate">
    <vt:lpwstr>2023-10-27</vt:lpwstr>
  </property>
  <property fmtid="{D5CDD505-2E9C-101B-9397-08002B2CF9AE}" pid="68" name="C_ValidFrom">
    <vt:lpwstr>2023-10-27</vt:lpwstr>
  </property>
  <property fmtid="{D5CDD505-2E9C-101B-9397-08002B2CF9AE}" pid="69" name="C_ValidFromDate">
    <vt:lpwstr>2023-10-27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2102d5e3-1153-4fa4-9fb1-41230992a166</vt:lpwstr>
  </property>
  <property fmtid="{D5CDD505-2E9C-101B-9397-08002B2CF9AE}" pid="75" name="C_WorkUnit">
    <vt:lpwstr>Utvecklings- och digitaliseringsenheten</vt:lpwstr>
  </property>
  <property fmtid="{D5CDD505-2E9C-101B-9397-08002B2CF9AE}" pid="76" name="C_WorkUnitPath">
    <vt:lpwstr>Region Jämtland Härjedalen / Regionstab / Forsknings- utbildnings- och utvecklingsavdelningen / Utvecklings- och digitaliseringsenheten</vt:lpwstr>
  </property>
</Properties>
</file>