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sdt>
      <w:sdtPr>
        <w:rPr>
          <w:rFonts w:eastAsiaTheme="minorHAnsi"/>
        </w:rPr>
        <w:id w:val="24968860"/>
        <w:docPartObj>
          <w:docPartGallery w:val="Cover Pages"/>
          <w:docPartUnique/>
        </w:docPartObj>
      </w:sdtPr>
      <w:sdtContent>
        <w:tbl>
          <w:tblPr>
            <w:tblStyle w:val="TableGrid"/>
            <w:tblW w:w="85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FFFFFF" w:themeColor="background1"/>
              <w:insideV w:val="none" w:sz="0" w:space="0" w:color="auto"/>
            </w:tblBorders>
            <w:tblLook w:val="04A0"/>
          </w:tblPr>
          <w:tblGrid>
            <w:gridCol w:w="8505"/>
          </w:tblGrid>
          <w:tr w14:paraId="718DA7CF" w14:textId="77777777" w:rsidTr="00562FD0">
            <w:tblPrEx>
              <w:tblW w:w="8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FFFFFF" w:themeColor="background1"/>
                <w:insideV w:val="none" w:sz="0" w:space="0" w:color="auto"/>
              </w:tblBorders>
              <w:tblLook w:val="04A0"/>
            </w:tblPrEx>
            <w:trPr>
              <w:trHeight w:hRule="exact" w:val="7371"/>
            </w:trPr>
            <w:tc>
              <w:tcPr>
                <w:tcW w:w="8644" w:type="dxa"/>
                <w:tcMar>
                  <w:right w:w="0" w:type="dxa"/>
                </w:tcMar>
              </w:tcPr>
              <w:p w:rsidR="00854D1E" w:rsidP="00562FD0" w14:paraId="1096FD3D" w14:textId="77777777">
                <w:pPr>
                  <w:jc w:val="right"/>
                </w:pPr>
              </w:p>
              <w:p w:rsidR="00854D1E" w:rsidP="00562FD0" w14:paraId="0B7DBB78" w14:textId="77777777">
                <w:pPr>
                  <w:jc w:val="right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1547495" cy="511175"/>
                      <wp:effectExtent l="0" t="0" r="0" b="3175"/>
                      <wp:docPr id="2" name="Bildobjekt 2" descr="RJH Logga beskuren transparent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objekt 2" descr="RJH Logga beskuren transparent.png"/>
                              <pic:cNvPicPr/>
                            </pic:nvPicPr>
                            <pic:blipFill>
                              <a:blip xmlns:r="http://schemas.openxmlformats.org/officeDocument/2006/relationships"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7495" cy="511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7F061C4F" w14:textId="77777777" w:rsidTr="00562FD0">
            <w:tblPrEx>
              <w:tblW w:w="8505" w:type="dxa"/>
              <w:tblLook w:val="04A0"/>
            </w:tblPrEx>
            <w:trPr>
              <w:trHeight w:hRule="exact" w:val="3402"/>
            </w:trPr>
            <w:tc>
              <w:tcPr>
                <w:tcW w:w="8505" w:type="dxa"/>
                <w:tcMar>
                  <w:left w:w="567" w:type="dxa"/>
                  <w:right w:w="0" w:type="dxa"/>
                </w:tcMar>
              </w:tcPr>
              <w:p w:rsidR="00854D1E" w:rsidP="00562FD0" w14:paraId="626B9966" w14:textId="68C61D45">
                <w:pPr>
                  <w:pStyle w:val="Titel"/>
                </w:pPr>
                <w:r>
                  <w:fldChar w:fldCharType="begin"/>
                </w:r>
                <w:r>
                  <w:instrText xml:space="preserve"> DOCPROPERTY C_Title \* MERGEFORMAT  </w:instrText>
                </w:r>
                <w:r>
                  <w:fldChar w:fldCharType="separate"/>
                </w:r>
                <w:r w:rsidR="00852DA7">
                  <w:t>Anmälningsskyldighet till IVO om leg. hälso- och sjukvårdspersonal kan utgöra en fara för patientsäkerheten</w:t>
                </w:r>
                <w:r w:rsidR="00852DA7">
                  <w:fldChar w:fldCharType="end"/>
                </w:r>
              </w:p>
              <w:p w:rsidR="00854D1E" w:rsidRPr="003B225C" w:rsidP="00562FD0" w14:paraId="54E8B8CB" w14:textId="561F8F78">
                <w:pPr>
                  <w:pStyle w:val="Frsttsblad14"/>
                </w:pPr>
              </w:p>
            </w:tc>
          </w:tr>
        </w:tbl>
        <w:p w:rsidR="00854D1E" w:rsidP="00854D1E" w14:paraId="2878F75D" w14:textId="10977C28">
          <w:pPr>
            <w:spacing w:after="40"/>
            <w:rPr>
              <w:b/>
              <w:sz w:val="40"/>
              <w:szCs w:val="40"/>
            </w:rPr>
          </w:pPr>
        </w:p>
        <w:p w:rsidR="00614BBF" w:rsidP="00854D1E" w14:paraId="1E82BE75" w14:textId="18D163A0">
          <w:pPr>
            <w:spacing w:after="40"/>
            <w:rPr>
              <w:b/>
              <w:sz w:val="40"/>
              <w:szCs w:val="40"/>
            </w:rPr>
          </w:pPr>
        </w:p>
        <w:p w:rsidR="00614BBF" w:rsidP="00854D1E" w14:paraId="33E7B1CA" w14:textId="77777777">
          <w:pPr>
            <w:spacing w:after="40"/>
            <w:rPr>
              <w:b/>
              <w:sz w:val="40"/>
              <w:szCs w:val="40"/>
            </w:rPr>
          </w:pPr>
        </w:p>
        <w:p w:rsidR="00854D1E" w:rsidRPr="00A91FEB" w:rsidP="00854D1E" w14:paraId="43B67D95" w14:textId="77777777">
          <w:pPr>
            <w:spacing w:after="40"/>
            <w:rPr>
              <w:b/>
              <w:sz w:val="40"/>
              <w:szCs w:val="40"/>
            </w:rPr>
          </w:pPr>
          <w:r w:rsidRPr="00A91FEB">
            <w:rPr>
              <w:b/>
              <w:sz w:val="40"/>
              <w:szCs w:val="40"/>
            </w:rPr>
            <w:t>Innehållsförteckning</w:t>
          </w:r>
        </w:p>
        <w:p>
          <w:pPr>
            <w:pStyle w:val="TOC1"/>
            <w:tabs>
              <w:tab w:val="left" w:pos="660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eastAsiaTheme="majorEastAsia" w:cstheme="majorBidi"/>
              <w:b/>
              <w:bCs/>
              <w:sz w:val="32"/>
              <w:szCs w:val="28"/>
            </w:rPr>
            <w:fldChar w:fldCharType="begin"/>
          </w:r>
          <w:r>
            <w:instrText xml:space="preserve"> TOC \o "1-4" \u </w:instrText>
          </w:r>
          <w:r>
            <w:rPr>
              <w:rFonts w:eastAsiaTheme="majorEastAsia" w:cstheme="majorBidi"/>
              <w:b/>
              <w:bCs/>
              <w:sz w:val="32"/>
              <w:szCs w:val="28"/>
            </w:rP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Inledning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8154"/>
            </w:tabs>
            <w:rPr>
              <w:rFonts w:asciiTheme="minorHAnsi" w:hAnsiTheme="minorHAnsi"/>
              <w:noProof/>
              <w:sz w:val="22"/>
            </w:rPr>
          </w:pPr>
          <w:r>
            <w:t>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När en anmälan ska göras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8154"/>
            </w:tabs>
            <w:rPr>
              <w:rFonts w:asciiTheme="minorHAnsi" w:hAnsiTheme="minorHAnsi"/>
              <w:noProof/>
              <w:sz w:val="22"/>
            </w:rPr>
          </w:pPr>
          <w:r>
            <w:t>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Genomförande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>
          <w:pPr>
            <w:pStyle w:val="TOC3"/>
            <w:tabs>
              <w:tab w:val="left" w:pos="1100"/>
              <w:tab w:val="right" w:leader="dot" w:pos="8154"/>
            </w:tabs>
            <w:rPr>
              <w:rFonts w:asciiTheme="minorHAnsi" w:hAnsiTheme="minorHAnsi"/>
              <w:noProof/>
              <w:sz w:val="22"/>
            </w:rPr>
          </w:pPr>
          <w:r>
            <w:t>1.2.1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Ansvarsfördelning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2"/>
            <w:tabs>
              <w:tab w:val="left" w:pos="660"/>
              <w:tab w:val="right" w:leader="dot" w:pos="8154"/>
            </w:tabs>
            <w:rPr>
              <w:rFonts w:asciiTheme="minorHAnsi" w:hAnsiTheme="minorHAnsi"/>
              <w:noProof/>
              <w:sz w:val="22"/>
            </w:rPr>
          </w:pPr>
          <w:r>
            <w:t>1.3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Prövotid, återkallelse av legitimation, återkallelse av annan behörighet eller begränsning av förskrivningsrätt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854D1E" w:rsidRPr="00A91FEB" w:rsidP="00854D1E">
          <w:r>
            <w:fldChar w:fldCharType="end"/>
          </w:r>
        </w:p>
      </w:sdtContent>
    </w:sdt>
    <w:p w:rsidR="00854D1E" w:rsidP="00854D1E" w14:paraId="1B14EFC3" w14:textId="77777777">
      <w:pPr>
        <w:rPr>
          <w:sz w:val="40"/>
        </w:rPr>
      </w:pPr>
      <w:r>
        <w:br w:type="page"/>
      </w:r>
    </w:p>
    <w:p w:rsidR="00854D1E" w:rsidP="00854D1E" w14:paraId="0D3ECC0F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bookmarkStart w:id="0" w:name="_Toc256000000"/>
      <w:r>
        <w:t>Inledning</w:t>
      </w:r>
      <w:bookmarkEnd w:id="0"/>
    </w:p>
    <w:p w:rsidR="00854D1E" w:rsidP="00854D1E" w14:paraId="3D27021D" w14:textId="77777777">
      <w:bookmarkStart w:id="1" w:name="_Toc287937412"/>
    </w:p>
    <w:p w:rsidR="00854D1E" w:rsidP="00854D1E" w14:paraId="1C88E1E3" w14:textId="77777777">
      <w:r>
        <w:t xml:space="preserve">En vårdgivare ska snarast anmäla till Inspektionen för vård och omsorg, IVO, om det finns skälig anledning att befara att en person, som har legitimation för ett yrke inom hälso- och sjukvården och som är verksam eller har varit verksam hos vårdgivaren, kan utgöra en fara för patientsäkerheten enligt 3 kap. 7 § patientsäkerhetslagen (2010:659). </w:t>
      </w:r>
    </w:p>
    <w:p w:rsidR="00854D1E" w:rsidP="00854D1E" w14:paraId="4A4E82A7" w14:textId="77777777">
      <w:r w:rsidRPr="00F17568">
        <w:t>Det kan vara fråga om att legitimerad hälso- och sjukvårdspersonal</w:t>
      </w:r>
      <w:r>
        <w:t xml:space="preserve"> som till exempel:</w:t>
      </w:r>
    </w:p>
    <w:p w:rsidR="00854D1E" w:rsidRPr="007A01F4" w:rsidP="00854D1E" w14:paraId="40F71B8E" w14:textId="77777777">
      <w:pPr>
        <w:pStyle w:val="ListParagraph"/>
        <w:numPr>
          <w:ilvl w:val="0"/>
          <w:numId w:val="23"/>
        </w:numPr>
      </w:pPr>
      <w:r w:rsidRPr="007A01F4">
        <w:t>inte bedöms kunna utföra sitt yrke tillfredsställande på grund av sjukdom eller missbruk</w:t>
      </w:r>
      <w:r>
        <w:t xml:space="preserve">, </w:t>
      </w:r>
    </w:p>
    <w:p w:rsidR="00854D1E" w:rsidRPr="007A01F4" w:rsidP="00854D1E" w14:paraId="62E8FD16" w14:textId="77777777">
      <w:pPr>
        <w:numPr>
          <w:ilvl w:val="0"/>
          <w:numId w:val="23"/>
        </w:numPr>
      </w:pPr>
      <w:r w:rsidRPr="007A01F4">
        <w:t>upprepat åsidosättande av bestämmelser som är av direkt betydelse för patientsäkerheten</w:t>
      </w:r>
      <w:r>
        <w:t>,</w:t>
      </w:r>
    </w:p>
    <w:p w:rsidR="00854D1E" w:rsidRPr="007A01F4" w:rsidP="00854D1E" w14:paraId="1F42216A" w14:textId="77777777">
      <w:pPr>
        <w:numPr>
          <w:ilvl w:val="0"/>
          <w:numId w:val="23"/>
        </w:numPr>
      </w:pPr>
      <w:r w:rsidRPr="007A01F4">
        <w:t>har varit oskicklig vid utövningen av sitt yrke och oskickligheten kan befaras få betydelse för patientsäkerheten,</w:t>
      </w:r>
    </w:p>
    <w:p w:rsidR="00854D1E" w:rsidRPr="007A01F4" w:rsidP="00854D1E" w14:paraId="4708B2FA" w14:textId="77777777">
      <w:pPr>
        <w:numPr>
          <w:ilvl w:val="0"/>
          <w:numId w:val="23"/>
        </w:numPr>
      </w:pPr>
      <w:r w:rsidRPr="007A01F4">
        <w:t>i eller i samband med yrkesutövningen har gjort sig skyldig till brott som är ägnat att påverka förtroendet för honom eller henne,</w:t>
      </w:r>
    </w:p>
    <w:p w:rsidR="00854D1E" w:rsidRPr="007A01F4" w:rsidP="00854D1E" w14:paraId="33C707FF" w14:textId="77777777">
      <w:pPr>
        <w:numPr>
          <w:ilvl w:val="0"/>
          <w:numId w:val="23"/>
        </w:numPr>
      </w:pPr>
      <w:r w:rsidRPr="007A01F4">
        <w:t xml:space="preserve">på grund av andra omständigheter kan befaras vara olämplig att utöva yrket. </w:t>
      </w:r>
    </w:p>
    <w:p w:rsidR="00854D1E" w:rsidRPr="007A01F4" w:rsidP="00854D1E" w14:paraId="758AA00B" w14:textId="77777777">
      <w:r w:rsidRPr="007A01F4">
        <w:t>Anmäl</w:t>
      </w:r>
      <w:r>
        <w:t xml:space="preserve">ningsplikten gäller även vikarierande, </w:t>
      </w:r>
      <w:r w:rsidRPr="007A01F4">
        <w:t>inhyrd och tidigare anställd hälso- och sjukvårdspersonal.</w:t>
      </w:r>
    </w:p>
    <w:p w:rsidR="00854D1E" w:rsidP="00854D1E" w14:paraId="622AC11A" w14:textId="77777777">
      <w:r w:rsidRPr="007A01F4">
        <w:t xml:space="preserve">Det åligger även vårdgivaren att i möjligast mån uppmärksamma hälso- och sjukvårdspersonal som kan vara i behov av extra stöd och insatser som t ex utbildning, fortbildning och rehabilitering innan problemen blivit sådana att anmälan till </w:t>
      </w:r>
      <w:r>
        <w:t>IVO</w:t>
      </w:r>
      <w:r w:rsidRPr="007A01F4">
        <w:t xml:space="preserve"> </w:t>
      </w:r>
      <w:r>
        <w:t>blir</w:t>
      </w:r>
      <w:r w:rsidRPr="007A01F4">
        <w:t xml:space="preserve"> nödvändigt.</w:t>
      </w:r>
    </w:p>
    <w:p w:rsidR="00854D1E" w:rsidP="00854D1E" w14:paraId="1D3EED12" w14:textId="77777777"/>
    <w:p w:rsidR="00854D1E" w:rsidP="00854D1E" w14:paraId="1219913A" w14:textId="77777777">
      <w:pPr>
        <w:pStyle w:val="Heading2"/>
        <w:numPr>
          <w:ilvl w:val="1"/>
          <w:numId w:val="22"/>
        </w:numPr>
        <w:spacing w:before="160"/>
      </w:pPr>
      <w:bookmarkStart w:id="2" w:name="_Toc319060719"/>
      <w:bookmarkStart w:id="3" w:name="_Toc256000001"/>
      <w:r>
        <w:t>När en anmälan ska göras</w:t>
      </w:r>
      <w:bookmarkEnd w:id="3"/>
      <w:bookmarkEnd w:id="2"/>
    </w:p>
    <w:p w:rsidR="00854D1E" w:rsidRPr="001A446A" w:rsidP="00854D1E" w14:paraId="79E50EB2" w14:textId="77777777"/>
    <w:p w:rsidR="00854D1E" w:rsidP="00854D1E" w14:paraId="6371BE72" w14:textId="77777777">
      <w:pPr>
        <w:rPr>
          <w:i/>
        </w:rPr>
      </w:pPr>
      <w:r w:rsidRPr="00083F0A">
        <w:t xml:space="preserve">Det ska det finnas </w:t>
      </w:r>
      <w:r w:rsidRPr="001A446A">
        <w:rPr>
          <w:i/>
        </w:rPr>
        <w:t>skälig anledning att befara</w:t>
      </w:r>
      <w:r w:rsidRPr="00083F0A">
        <w:rPr>
          <w:i/>
        </w:rPr>
        <w:t xml:space="preserve"> </w:t>
      </w:r>
      <w:r w:rsidRPr="00083F0A">
        <w:t xml:space="preserve">att yrkesutövaren kan utgöra en </w:t>
      </w:r>
      <w:r w:rsidRPr="001A446A">
        <w:rPr>
          <w:i/>
        </w:rPr>
        <w:t>fara för patientsäkerheten</w:t>
      </w:r>
      <w:r>
        <w:rPr>
          <w:i/>
        </w:rPr>
        <w:t>.</w:t>
      </w:r>
    </w:p>
    <w:p w:rsidR="00854D1E" w:rsidRPr="001A446A" w:rsidP="00854D1E" w14:paraId="1DA3F7F4" w14:textId="77777777">
      <w:pPr>
        <w:rPr>
          <w:i/>
        </w:rPr>
      </w:pPr>
      <w:r>
        <w:t>Förtydligande av begrepp:</w:t>
      </w:r>
      <w:r w:rsidRPr="001A446A">
        <w:rPr>
          <w:i/>
        </w:rPr>
        <w:t xml:space="preserve"> </w:t>
      </w:r>
    </w:p>
    <w:p w:rsidR="00854D1E" w:rsidP="00854D1E" w14:paraId="366C0BA1" w14:textId="77777777">
      <w:pPr>
        <w:numPr>
          <w:ilvl w:val="0"/>
          <w:numId w:val="24"/>
        </w:numPr>
      </w:pPr>
      <w:r w:rsidRPr="00915A37">
        <w:t>Skälig anledning att befara</w:t>
      </w:r>
    </w:p>
    <w:p w:rsidR="00854D1E" w:rsidP="00854D1E" w14:paraId="6A06FDF8" w14:textId="26F8EC60">
      <w:pPr>
        <w:ind w:left="1304"/>
      </w:pPr>
      <w:r>
        <w:t xml:space="preserve">Begreppet innebär </w:t>
      </w:r>
      <w:r w:rsidRPr="00083F0A">
        <w:t xml:space="preserve">att anmälan inte enbart får bygga på spekulationen eller allmänna bedömningar, utan ska vara grundad på faktiska </w:t>
      </w:r>
      <w:r>
        <w:t xml:space="preserve">och dokumenterade </w:t>
      </w:r>
      <w:r w:rsidRPr="00083F0A">
        <w:t>omständigheter, exempelvis iakttagelser om bristande kompetens, bristande vilja att följa fastställda rutiner eller missbruk.</w:t>
      </w:r>
    </w:p>
    <w:p w:rsidR="00614BBF" w:rsidRPr="00083F0A" w:rsidP="00854D1E" w14:paraId="3690E35C" w14:textId="77777777">
      <w:pPr>
        <w:ind w:left="1304"/>
      </w:pPr>
    </w:p>
    <w:p w:rsidR="00854D1E" w:rsidP="00854D1E" w14:paraId="294A152C" w14:textId="77777777">
      <w:pPr>
        <w:numPr>
          <w:ilvl w:val="0"/>
          <w:numId w:val="24"/>
        </w:numPr>
      </w:pPr>
      <w:r w:rsidRPr="001A446A">
        <w:t>Fara för patientsäkerheten</w:t>
      </w:r>
      <w:r w:rsidRPr="00083F0A">
        <w:t xml:space="preserve"> </w:t>
      </w:r>
    </w:p>
    <w:p w:rsidR="00854D1E" w:rsidP="00854D1E" w14:paraId="1A1AF90D" w14:textId="77777777">
      <w:pPr>
        <w:ind w:left="1304"/>
      </w:pPr>
      <w:r>
        <w:t>D</w:t>
      </w:r>
      <w:r w:rsidRPr="00083F0A">
        <w:t>et ska kunna befaras att yrkesutövarens oskicklighet eller till exempel missbruksproblem utgör en klar och konkret risk för patienterna.</w:t>
      </w:r>
    </w:p>
    <w:p w:rsidR="00854D1E" w:rsidRPr="00083F0A" w:rsidP="00854D1E" w14:paraId="17D126D1" w14:textId="77777777">
      <w:pPr>
        <w:ind w:left="720"/>
      </w:pPr>
    </w:p>
    <w:p w:rsidR="00854D1E" w:rsidP="00854D1E" w14:paraId="4DCAD127" w14:textId="77777777">
      <w:pPr>
        <w:pStyle w:val="Heading2"/>
        <w:numPr>
          <w:ilvl w:val="1"/>
          <w:numId w:val="22"/>
        </w:numPr>
        <w:spacing w:before="160"/>
      </w:pPr>
      <w:bookmarkEnd w:id="1"/>
      <w:bookmarkStart w:id="4" w:name="_Toc256000002"/>
      <w:r>
        <w:t>Genomförande</w:t>
      </w:r>
      <w:bookmarkEnd w:id="4"/>
    </w:p>
    <w:p w:rsidR="00854D1E" w:rsidP="00854D1E" w14:paraId="78C6ABF7" w14:textId="77777777">
      <w:r>
        <w:t xml:space="preserve">Om det via avvikelserapporter eller på annat sätt framkommer att en legitimerad hälso- och sjukvårdspersonal, som är verksam eller har varit verksam inom Region Jämtland Härjedalen, kan utgöra en patientsäkerhetsrisk, ska </w:t>
      </w:r>
      <w:r w:rsidRPr="00827D3D">
        <w:t>verksamhetschef</w:t>
      </w:r>
      <w:r>
        <w:t>en</w:t>
      </w:r>
      <w:r w:rsidRPr="00827D3D">
        <w:t xml:space="preserve"> </w:t>
      </w:r>
      <w:r>
        <w:t xml:space="preserve">skyndsamt genomföra en utredning </w:t>
      </w:r>
      <w:r w:rsidRPr="00827D3D">
        <w:t xml:space="preserve">och </w:t>
      </w:r>
      <w:r w:rsidRPr="005B4D5E">
        <w:t>dokumentera</w:t>
      </w:r>
      <w:r w:rsidRPr="00827D3D">
        <w:t xml:space="preserve"> de omständigheter som föreligger.</w:t>
      </w:r>
      <w:r>
        <w:t xml:space="preserve"> </w:t>
      </w:r>
      <w:r w:rsidRPr="00F93D13">
        <w:t xml:space="preserve">Chefläkare </w:t>
      </w:r>
      <w:r>
        <w:t>ska</w:t>
      </w:r>
      <w:r w:rsidRPr="00F93D13">
        <w:t xml:space="preserve"> </w:t>
      </w:r>
      <w:r>
        <w:t>informeras och vid behov vara rådgivande inför utredning.</w:t>
      </w:r>
    </w:p>
    <w:p w:rsidR="00854D1E" w:rsidP="00854D1E" w14:paraId="78C02B06" w14:textId="77777777">
      <w:r>
        <w:t xml:space="preserve">Verksamhetschefen ansvarar för att berörd medarbetare </w:t>
      </w:r>
      <w:r w:rsidRPr="00827D3D">
        <w:t>informeras i ett tidigt skede om vad som framkommit</w:t>
      </w:r>
      <w:r>
        <w:t xml:space="preserve"> och hur ärendet kommer att handläggas.</w:t>
      </w:r>
    </w:p>
    <w:p w:rsidR="00854D1E" w:rsidP="00854D1E" w14:paraId="7F3F6E9A" w14:textId="77777777">
      <w:r>
        <w:t>V</w:t>
      </w:r>
      <w:r w:rsidRPr="00B935F2">
        <w:t>erksamhetschef</w:t>
      </w:r>
      <w:r>
        <w:t>en</w:t>
      </w:r>
      <w:r w:rsidRPr="00B935F2">
        <w:t xml:space="preserve"> </w:t>
      </w:r>
      <w:r>
        <w:t xml:space="preserve">kan </w:t>
      </w:r>
      <w:r w:rsidRPr="00B935F2">
        <w:t xml:space="preserve">tillsätta en kvalitetsgranskningsgrupp för att mera ingående granska </w:t>
      </w:r>
      <w:r>
        <w:t>medarbetarens</w:t>
      </w:r>
      <w:r w:rsidRPr="00B935F2">
        <w:t xml:space="preserve"> verksamhet. </w:t>
      </w:r>
      <w:r>
        <w:t>Medarbetaren</w:t>
      </w:r>
      <w:r w:rsidRPr="00B935F2">
        <w:t xml:space="preserve"> och/eller facklig representant, om så önska</w:t>
      </w:r>
      <w:r>
        <w:t>s</w:t>
      </w:r>
      <w:r w:rsidRPr="00B935F2">
        <w:t xml:space="preserve">, ges möjlighet att ta del av och kommentera vad som framkommit vid granskningen. Detta undantar inte arbetsgivarens ansvar och skyldighet </w:t>
      </w:r>
      <w:r>
        <w:t>att ge</w:t>
      </w:r>
      <w:r w:rsidRPr="00B935F2">
        <w:t xml:space="preserve"> medarbetarstöd. </w:t>
      </w:r>
    </w:p>
    <w:p w:rsidR="00854D1E" w:rsidP="00854D1E" w14:paraId="3F82F9AA" w14:textId="77777777">
      <w:r w:rsidRPr="00B935F2">
        <w:t>Kvalitetsgranskningsgruppen skriver en rapport med förslag till handlingsplan</w:t>
      </w:r>
      <w:r>
        <w:t xml:space="preserve"> som lämnas till verksamhetschef.</w:t>
      </w:r>
      <w:r w:rsidRPr="00B935F2">
        <w:t xml:space="preserve"> </w:t>
      </w:r>
    </w:p>
    <w:p w:rsidR="00854D1E" w:rsidRPr="00F93D13" w:rsidP="00854D1E" w14:paraId="1EB0C201" w14:textId="77777777">
      <w:r>
        <w:t xml:space="preserve">Verksamhetschefen ansvarar för att det samtidigt genomförs en internutredning med stöd från personalchef för ställningstagande till om det finns skäl att vidta arbetsrättsliga åtgärder. </w:t>
      </w:r>
    </w:p>
    <w:p w:rsidR="00854D1E" w:rsidRPr="00B935F2" w:rsidP="00854D1E" w14:paraId="7E0F72A2" w14:textId="77777777">
      <w:r w:rsidRPr="00827D3D">
        <w:t xml:space="preserve">Om verksamhetschef finner </w:t>
      </w:r>
      <w:r>
        <w:t xml:space="preserve">som resultat av genomförd utredning </w:t>
      </w:r>
      <w:r w:rsidRPr="00827D3D">
        <w:t xml:space="preserve">att det föreligger skälig anledning att befara att det finns en patientsäkerhetsrisk </w:t>
      </w:r>
      <w:r>
        <w:t>ska</w:t>
      </w:r>
      <w:r w:rsidRPr="00827D3D">
        <w:t xml:space="preserve"> </w:t>
      </w:r>
      <w:r>
        <w:t>förvaltningschef</w:t>
      </w:r>
      <w:r w:rsidRPr="00827D3D">
        <w:t xml:space="preserve"> </w:t>
      </w:r>
      <w:r>
        <w:t>snarast informeras.</w:t>
      </w:r>
    </w:p>
    <w:p w:rsidR="00854D1E" w:rsidRPr="00827D3D" w:rsidP="00854D1E" w14:paraId="31AD9BA0" w14:textId="77777777">
      <w:r>
        <w:t>V</w:t>
      </w:r>
      <w:r w:rsidRPr="00827D3D">
        <w:t xml:space="preserve">erksamhetschef </w:t>
      </w:r>
      <w:r>
        <w:t>beslutar i samråd med</w:t>
      </w:r>
      <w:r w:rsidRPr="00827D3D">
        <w:t xml:space="preserve"> chefläkare om anmälan till </w:t>
      </w:r>
      <w:r>
        <w:t>IVO</w:t>
      </w:r>
      <w:r w:rsidRPr="00827D3D">
        <w:t xml:space="preserve"> ska göras</w:t>
      </w:r>
      <w:r>
        <w:t>.</w:t>
      </w:r>
      <w:r w:rsidRPr="00827D3D">
        <w:t xml:space="preserve"> </w:t>
      </w:r>
      <w:r>
        <w:t>Verksamhetschef beslutar</w:t>
      </w:r>
      <w:r w:rsidRPr="00827D3D">
        <w:t xml:space="preserve"> om andra åtgärder ska vidtas</w:t>
      </w:r>
      <w:r>
        <w:t xml:space="preserve"> enligt gällande delegationsordning och ansvars- och befogenhetsplan</w:t>
      </w:r>
      <w:r w:rsidRPr="00827D3D">
        <w:t>.</w:t>
      </w:r>
      <w:r w:rsidRPr="00F93D13">
        <w:t xml:space="preserve"> </w:t>
      </w:r>
      <w:r>
        <w:t xml:space="preserve">Verksamhetschef </w:t>
      </w:r>
      <w:r w:rsidRPr="005F023F">
        <w:t xml:space="preserve">ansvarar för </w:t>
      </w:r>
      <w:r>
        <w:t>kontakt med inhyrd personals arbetsgivare och att personaldirektör i dessa fall informeras.</w:t>
      </w:r>
    </w:p>
    <w:p w:rsidR="00854D1E" w:rsidP="00854D1E" w14:paraId="6C381CD1" w14:textId="3D815DD1">
      <w:r w:rsidRPr="00601A1F">
        <w:t>Verksamhetschef</w:t>
      </w:r>
      <w:r>
        <w:t xml:space="preserve"> ansvarar för </w:t>
      </w:r>
      <w:r w:rsidRPr="00827D3D">
        <w:t xml:space="preserve">anmälan till </w:t>
      </w:r>
      <w:r>
        <w:t>IVO</w:t>
      </w:r>
      <w:r w:rsidRPr="00827D3D">
        <w:t xml:space="preserve">. </w:t>
      </w:r>
      <w:r>
        <w:t>Anmälan ska ske på särskild blankett som hämtas från IVO:s hemsida ”Anmälan av legitimerad hälso- och sjukvårdspersonal enl</w:t>
      </w:r>
      <w:r w:rsidR="00614BBF">
        <w:t>igt</w:t>
      </w:r>
      <w:r>
        <w:t xml:space="preserve"> 3 kap.7 § patientsäkerhetslagen”. Blanketten omfattar vem anmälan avser, anledning till anmälan (bakgrund, underlag som styrker anmälan), och åtgärder som vidtagits av vårdgivaren.</w:t>
      </w:r>
    </w:p>
    <w:p w:rsidR="00854D1E" w:rsidP="00854D1E" w14:paraId="3FB67A02" w14:textId="2A0C8C33"/>
    <w:p w:rsidR="00614BBF" w:rsidP="00854D1E" w14:paraId="3E6B5113" w14:textId="77777777"/>
    <w:p w:rsidR="00854D1E" w:rsidRPr="00965EE0" w:rsidP="00854D1E" w14:paraId="567370C6" w14:textId="77777777"/>
    <w:p w:rsidR="00854D1E" w:rsidP="00854D1E" w14:paraId="25BA31CD" w14:textId="77777777">
      <w:pPr>
        <w:pStyle w:val="Heading3"/>
        <w:numPr>
          <w:ilvl w:val="2"/>
          <w:numId w:val="22"/>
        </w:numPr>
        <w:spacing w:before="160" w:line="260" w:lineRule="atLeast"/>
      </w:pPr>
      <w:bookmarkStart w:id="5" w:name="_Toc256000003"/>
      <w:r>
        <w:t>Ansvarsfördelning</w:t>
      </w:r>
      <w:bookmarkEnd w:id="5"/>
    </w:p>
    <w:p w:rsidR="00854D1E" w:rsidP="00854D1E" w14:paraId="73153F17" w14:textId="77777777">
      <w:pPr>
        <w:rPr>
          <w:u w:val="single"/>
        </w:rPr>
      </w:pPr>
    </w:p>
    <w:p w:rsidR="00854D1E" w:rsidP="00854D1E" w14:paraId="11224959" w14:textId="77777777">
      <w:pPr>
        <w:rPr>
          <w:u w:val="single"/>
        </w:rPr>
      </w:pPr>
      <w:r>
        <w:rPr>
          <w:u w:val="single"/>
        </w:rPr>
        <w:t>Verksamhetschef:</w:t>
      </w:r>
    </w:p>
    <w:p w:rsidR="00854D1E" w:rsidP="00854D1E" w14:paraId="6B6495B3" w14:textId="77777777">
      <w:pPr>
        <w:pStyle w:val="ListParagraph"/>
        <w:numPr>
          <w:ilvl w:val="0"/>
          <w:numId w:val="27"/>
        </w:numPr>
        <w:spacing w:line="360" w:lineRule="auto"/>
      </w:pPr>
      <w:r>
        <w:t>b</w:t>
      </w:r>
      <w:r w:rsidRPr="00910116">
        <w:t xml:space="preserve">eslut om anmälan till IVO </w:t>
      </w:r>
    </w:p>
    <w:p w:rsidR="00854D1E" w:rsidP="00854D1E" w14:paraId="0CCFE0FA" w14:textId="77777777">
      <w:pPr>
        <w:pStyle w:val="ListParagraph"/>
        <w:numPr>
          <w:ilvl w:val="0"/>
          <w:numId w:val="27"/>
        </w:numPr>
        <w:spacing w:line="360" w:lineRule="auto"/>
      </w:pPr>
      <w:r>
        <w:t>beslut om arbetsrättsliga åtgärder ska vidtas, i samråd med personalchef</w:t>
      </w:r>
    </w:p>
    <w:p w:rsidR="00854D1E" w:rsidRPr="00910116" w:rsidP="00854D1E" w14:paraId="1DF68E7F" w14:textId="77777777">
      <w:pPr>
        <w:pStyle w:val="ListParagraph"/>
        <w:numPr>
          <w:ilvl w:val="0"/>
          <w:numId w:val="27"/>
        </w:numPr>
        <w:spacing w:line="360" w:lineRule="auto"/>
      </w:pPr>
      <w:r>
        <w:t>beslut om andra åtgärder ska vidtas, t ex utbildning</w:t>
      </w:r>
    </w:p>
    <w:p w:rsidR="00854D1E" w:rsidRPr="003B1650" w:rsidP="00854D1E" w14:paraId="16C5500B" w14:textId="77777777">
      <w:pPr>
        <w:numPr>
          <w:ilvl w:val="0"/>
          <w:numId w:val="25"/>
        </w:numPr>
        <w:spacing w:line="360" w:lineRule="auto"/>
      </w:pPr>
      <w:r w:rsidRPr="003B1650">
        <w:t xml:space="preserve">information till </w:t>
      </w:r>
      <w:r>
        <w:t>förvaltnings</w:t>
      </w:r>
      <w:r w:rsidRPr="003B1650">
        <w:t xml:space="preserve">chef </w:t>
      </w:r>
      <w:r>
        <w:t xml:space="preserve">och chefläkare </w:t>
      </w:r>
      <w:r w:rsidRPr="003B1650">
        <w:t xml:space="preserve">om det föreligger skälig anledning att befara att det finns </w:t>
      </w:r>
      <w:r>
        <w:t xml:space="preserve">en medarbetare som kan utgöra </w:t>
      </w:r>
      <w:r w:rsidRPr="003B1650">
        <w:t>en patientsäkerhetsrisk</w:t>
      </w:r>
    </w:p>
    <w:p w:rsidR="00854D1E" w:rsidRPr="003B1650" w:rsidP="00854D1E" w14:paraId="2A9C686D" w14:textId="77777777">
      <w:pPr>
        <w:numPr>
          <w:ilvl w:val="0"/>
          <w:numId w:val="25"/>
        </w:numPr>
        <w:spacing w:line="360" w:lineRule="auto"/>
      </w:pPr>
      <w:r w:rsidRPr="003B1650">
        <w:t>informera medarbetaren</w:t>
      </w:r>
    </w:p>
    <w:p w:rsidR="00854D1E" w:rsidP="00854D1E" w14:paraId="4D5EDA70" w14:textId="77777777">
      <w:pPr>
        <w:numPr>
          <w:ilvl w:val="0"/>
          <w:numId w:val="25"/>
        </w:numPr>
        <w:spacing w:line="360" w:lineRule="auto"/>
      </w:pPr>
      <w:r>
        <w:t>ansvarar för utredning och vid behov ge uppdrag till</w:t>
      </w:r>
      <w:r w:rsidRPr="003B1650">
        <w:t xml:space="preserve"> kvalitetsgranskningsgrupp</w:t>
      </w:r>
    </w:p>
    <w:p w:rsidR="00854D1E" w:rsidP="00854D1E" w14:paraId="4AEEE768" w14:textId="77777777">
      <w:pPr>
        <w:numPr>
          <w:ilvl w:val="0"/>
          <w:numId w:val="25"/>
        </w:numPr>
        <w:spacing w:line="360" w:lineRule="auto"/>
      </w:pPr>
      <w:r>
        <w:t>ansvarar för att internutredning genomförs om det finns skäl att vidta arbetsrättsliga åtgärder i samråd med personaldirektör</w:t>
      </w:r>
    </w:p>
    <w:p w:rsidR="00854D1E" w:rsidRPr="003B1650" w:rsidP="00854D1E" w14:paraId="4A307020" w14:textId="77777777">
      <w:pPr>
        <w:numPr>
          <w:ilvl w:val="0"/>
          <w:numId w:val="25"/>
        </w:numPr>
        <w:spacing w:line="360" w:lineRule="auto"/>
      </w:pPr>
      <w:r>
        <w:t>ansvarar</w:t>
      </w:r>
      <w:r w:rsidRPr="003B1650">
        <w:t xml:space="preserve"> för </w:t>
      </w:r>
      <w:r>
        <w:t xml:space="preserve">att </w:t>
      </w:r>
      <w:r w:rsidRPr="003B1650">
        <w:t xml:space="preserve">anmälan </w:t>
      </w:r>
      <w:r>
        <w:t xml:space="preserve">lämnas </w:t>
      </w:r>
      <w:r w:rsidRPr="003B1650">
        <w:t xml:space="preserve">till </w:t>
      </w:r>
      <w:r>
        <w:t>IVO</w:t>
      </w:r>
    </w:p>
    <w:p w:rsidR="00854D1E" w:rsidRPr="003B1650" w:rsidP="00854D1E" w14:paraId="3F4A5251" w14:textId="77777777">
      <w:r w:rsidRPr="003B1650">
        <w:rPr>
          <w:u w:val="single"/>
        </w:rPr>
        <w:t>Chefläkare</w:t>
      </w:r>
      <w:r w:rsidRPr="003B1650">
        <w:t xml:space="preserve">: </w:t>
      </w:r>
    </w:p>
    <w:p w:rsidR="00854D1E" w:rsidRPr="003B1650" w:rsidP="00854D1E" w14:paraId="2144CD56" w14:textId="77777777">
      <w:pPr>
        <w:numPr>
          <w:ilvl w:val="0"/>
          <w:numId w:val="26"/>
        </w:numPr>
      </w:pPr>
      <w:r w:rsidRPr="003B1650">
        <w:t xml:space="preserve">stöd till </w:t>
      </w:r>
      <w:r>
        <w:t>förvaltningschef</w:t>
      </w:r>
      <w:r w:rsidRPr="003B1650">
        <w:t>/</w:t>
      </w:r>
      <w:r>
        <w:t>verksamhetschef</w:t>
      </w:r>
    </w:p>
    <w:p w:rsidR="00854D1E" w:rsidRPr="003B1650" w:rsidP="00854D1E" w14:paraId="678622E6" w14:textId="77777777">
      <w:pPr>
        <w:numPr>
          <w:ilvl w:val="0"/>
          <w:numId w:val="26"/>
        </w:numPr>
      </w:pPr>
      <w:r w:rsidRPr="003B1650">
        <w:t>informera verksamhetschef vid upptäckt av riskpersoner (</w:t>
      </w:r>
      <w:r>
        <w:t>utredning av allvarliga vårdskador</w:t>
      </w:r>
      <w:r w:rsidRPr="003B1650">
        <w:t xml:space="preserve">, </w:t>
      </w:r>
      <w:r>
        <w:t>klagomålsanmälningar från IVO,</w:t>
      </w:r>
      <w:r w:rsidRPr="00781EF3">
        <w:t xml:space="preserve"> </w:t>
      </w:r>
      <w:r w:rsidRPr="003B1650">
        <w:t>avvikelserapporter)</w:t>
      </w:r>
    </w:p>
    <w:p w:rsidR="00854D1E" w:rsidP="00854D1E" w14:paraId="1FF5B669" w14:textId="77777777">
      <w:pPr>
        <w:rPr>
          <w:u w:val="single"/>
        </w:rPr>
      </w:pPr>
      <w:r>
        <w:rPr>
          <w:u w:val="single"/>
        </w:rPr>
        <w:t>Personaldirektör:</w:t>
      </w:r>
    </w:p>
    <w:p w:rsidR="00854D1E" w:rsidP="00001089" w14:paraId="3063A05B" w14:textId="36B36404">
      <w:pPr>
        <w:pStyle w:val="ListParagraph"/>
        <w:numPr>
          <w:ilvl w:val="0"/>
          <w:numId w:val="26"/>
        </w:numPr>
      </w:pPr>
      <w:r>
        <w:t>p</w:t>
      </w:r>
      <w:r w:rsidRPr="00910116">
        <w:t xml:space="preserve">å uppdrag av verksamhetschef </w:t>
      </w:r>
      <w:r>
        <w:t xml:space="preserve">ta ställning till </w:t>
      </w:r>
      <w:r w:rsidRPr="00910116">
        <w:t>om det finns skäl att vidta arbetsrättsliga åtgärder</w:t>
      </w:r>
      <w:r>
        <w:t xml:space="preserve">, se </w:t>
      </w:r>
      <w:r w:rsidR="00001089">
        <w:t>”</w:t>
      </w:r>
      <w:r w:rsidRPr="00001089" w:rsidR="00001089">
        <w:rPr>
          <w:bCs/>
          <w:szCs w:val="20"/>
        </w:rPr>
        <w:fldChar w:fldCharType="begin"/>
      </w:r>
      <w:r w:rsidRPr="00001089" w:rsidR="00001089">
        <w:rPr>
          <w:bCs/>
          <w:szCs w:val="20"/>
        </w:rPr>
        <w:instrText xml:space="preserve"> DOCPROPERTY C_Title \* MERGEFORMAT  </w:instrText>
      </w:r>
      <w:r w:rsidRPr="00001089" w:rsidR="00001089">
        <w:rPr>
          <w:bCs/>
          <w:szCs w:val="20"/>
        </w:rPr>
        <w:fldChar w:fldCharType="separate"/>
      </w:r>
      <w:r w:rsidR="00852DA7">
        <w:rPr>
          <w:bCs/>
          <w:szCs w:val="20"/>
        </w:rPr>
        <w:t>Anmälningsskyldighet till IVO om leg. hälso- och sjukvårdspersonal kan utgöra en fara för patientsäkerheten</w:t>
      </w:r>
      <w:r w:rsidRPr="00001089" w:rsidR="00001089">
        <w:rPr>
          <w:bCs/>
          <w:szCs w:val="20"/>
        </w:rPr>
        <w:fldChar w:fldCharType="end"/>
      </w:r>
      <w:r w:rsidRPr="00001089" w:rsidR="00001089">
        <w:rPr>
          <w:bCs/>
          <w:szCs w:val="20"/>
        </w:rPr>
        <w:t xml:space="preserve">” </w:t>
      </w:r>
      <w:hyperlink r:id="rId6" w:history="1">
        <w:r w:rsidR="00001089">
          <w:rPr>
            <w:rStyle w:val="Hyperlink"/>
          </w:rPr>
          <w:t>(Centuri 47506)</w:t>
        </w:r>
      </w:hyperlink>
    </w:p>
    <w:p w:rsidR="00854D1E" w:rsidP="00854D1E" w14:paraId="790B7E19" w14:textId="77777777">
      <w:pPr>
        <w:pStyle w:val="ListParagraph"/>
      </w:pPr>
    </w:p>
    <w:p w:rsidR="00854D1E" w:rsidP="00854D1E" w14:paraId="48F18A61" w14:textId="77777777">
      <w:pPr>
        <w:pStyle w:val="Heading2"/>
        <w:numPr>
          <w:ilvl w:val="1"/>
          <w:numId w:val="22"/>
        </w:numPr>
        <w:spacing w:before="160"/>
      </w:pPr>
      <w:bookmarkStart w:id="6" w:name="_Toc256000004"/>
      <w:r>
        <w:t>Prövotid, återkallelse av legitimation, återkallelse av annan behörighet eller begränsning av förskrivningsrätt</w:t>
      </w:r>
      <w:bookmarkEnd w:id="6"/>
    </w:p>
    <w:p w:rsidR="00854D1E" w:rsidRPr="008E037E" w:rsidP="00854D1E" w14:paraId="75568A78" w14:textId="77777777"/>
    <w:p w:rsidR="00854D1E" w:rsidP="00854D1E" w14:paraId="140B18A1" w14:textId="35773DA1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Enligt patientsäkerhetslagen kan IVO öppna ett ärende när</w:t>
      </w:r>
      <w:r w:rsidRPr="00C66768">
        <w:rPr>
          <w:rFonts w:cs="Calibri"/>
          <w:szCs w:val="24"/>
        </w:rPr>
        <w:t xml:space="preserve"> en anmälan från en vårdgivare om en enskild yrkesutövare</w:t>
      </w:r>
      <w:r>
        <w:rPr>
          <w:rFonts w:cs="Calibri"/>
          <w:szCs w:val="24"/>
        </w:rPr>
        <w:t xml:space="preserve"> inkommer eller om IVO </w:t>
      </w:r>
      <w:r w:rsidRPr="00C66768">
        <w:rPr>
          <w:rFonts w:cs="Calibri"/>
          <w:szCs w:val="24"/>
        </w:rPr>
        <w:t xml:space="preserve">på annat sätt uppmärksammar en legitimerad yrkesutövare </w:t>
      </w:r>
      <w:r w:rsidRPr="00C66768" w:rsidR="00614BBF">
        <w:rPr>
          <w:rFonts w:cs="Calibri"/>
          <w:szCs w:val="24"/>
        </w:rPr>
        <w:t>till exempel</w:t>
      </w:r>
      <w:r w:rsidRPr="00C66768">
        <w:rPr>
          <w:rFonts w:cs="Calibri"/>
          <w:szCs w:val="24"/>
        </w:rPr>
        <w:t xml:space="preserve"> genom massmedia eller anmälan från någon privatperson eller i ett klagomålsärende</w:t>
      </w:r>
      <w:r>
        <w:rPr>
          <w:rFonts w:cs="Calibri"/>
          <w:szCs w:val="24"/>
        </w:rPr>
        <w:t>.</w:t>
      </w:r>
      <w:r w:rsidRPr="00C66768">
        <w:rPr>
          <w:rFonts w:cs="Calibri"/>
          <w:szCs w:val="24"/>
        </w:rPr>
        <w:t xml:space="preserve"> </w:t>
      </w:r>
    </w:p>
    <w:p w:rsidR="00854D1E" w:rsidP="00854D1E" w14:paraId="08BC95DC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</w:p>
    <w:p w:rsidR="00854D1E" w:rsidP="00854D1E" w14:paraId="45CDC355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IVO</w:t>
      </w:r>
      <w:r w:rsidRPr="00C66768">
        <w:rPr>
          <w:rFonts w:cs="Calibri"/>
          <w:szCs w:val="24"/>
        </w:rPr>
        <w:t xml:space="preserve"> utreder omständigheterna i anmälan</w:t>
      </w:r>
      <w:r>
        <w:rPr>
          <w:rFonts w:cs="Calibri"/>
          <w:szCs w:val="24"/>
        </w:rPr>
        <w:t xml:space="preserve">. Utredningen kan resultera i att IVO riktar kritik mot anmäld person och därmed avslutar ärendet. Utredningen kan resultera i att IVO anser att det finns skäl för beslut om </w:t>
      </w:r>
      <w:r w:rsidRPr="00C66768">
        <w:rPr>
          <w:rFonts w:cs="Calibri"/>
          <w:szCs w:val="24"/>
        </w:rPr>
        <w:t>prövotid</w:t>
      </w:r>
      <w:r>
        <w:rPr>
          <w:rFonts w:cs="Calibri"/>
          <w:szCs w:val="24"/>
        </w:rPr>
        <w:t>,</w:t>
      </w:r>
      <w:r w:rsidRPr="008E037E">
        <w:t xml:space="preserve"> </w:t>
      </w:r>
      <w:r w:rsidRPr="008E037E">
        <w:rPr>
          <w:rFonts w:cs="Calibri"/>
          <w:szCs w:val="24"/>
        </w:rPr>
        <w:t>återkallelse av legitimation, återkallelse av annan behörighet eller begränsning av förskrivningsrätt</w:t>
      </w:r>
      <w:r w:rsidRPr="00C6676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och ska då anmäla detta till</w:t>
      </w:r>
      <w:r w:rsidRPr="00C6676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Hälso- och sjukvårdens ansvarsnämnd, HSAN. </w:t>
      </w:r>
    </w:p>
    <w:p w:rsidR="00854D1E" w:rsidP="00854D1E" w14:paraId="01CB6661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</w:p>
    <w:p w:rsidR="00854D1E" w:rsidP="00854D1E" w14:paraId="73234A30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Om</w:t>
      </w:r>
      <w:r w:rsidRPr="00C66768">
        <w:rPr>
          <w:rFonts w:cs="Calibri"/>
          <w:szCs w:val="24"/>
        </w:rPr>
        <w:t xml:space="preserve"> anmälan </w:t>
      </w:r>
      <w:r>
        <w:rPr>
          <w:rFonts w:cs="Calibri"/>
          <w:szCs w:val="24"/>
        </w:rPr>
        <w:t>gäller prövotid ska IVO</w:t>
      </w:r>
      <w:r w:rsidRPr="00C66768">
        <w:rPr>
          <w:rFonts w:cs="Calibri"/>
          <w:szCs w:val="24"/>
        </w:rPr>
        <w:t xml:space="preserve"> upprätta ett förslag till prövotidsplan som bifogas</w:t>
      </w:r>
      <w:r>
        <w:rPr>
          <w:rFonts w:cs="Calibri"/>
          <w:szCs w:val="24"/>
        </w:rPr>
        <w:t>. P</w:t>
      </w:r>
      <w:r w:rsidRPr="00C66768">
        <w:rPr>
          <w:rFonts w:cs="Calibri"/>
          <w:szCs w:val="24"/>
        </w:rPr>
        <w:t>rövotidsplan</w:t>
      </w:r>
      <w:r>
        <w:rPr>
          <w:rFonts w:cs="Calibri"/>
          <w:szCs w:val="24"/>
        </w:rPr>
        <w:t>en</w:t>
      </w:r>
      <w:r w:rsidRPr="00C66768">
        <w:rPr>
          <w:rFonts w:cs="Calibri"/>
          <w:szCs w:val="24"/>
        </w:rPr>
        <w:t xml:space="preserve"> ska om möjligt tas fram i samråd med den aktuella yrkesutövaren</w:t>
      </w:r>
      <w:r>
        <w:rPr>
          <w:rFonts w:cs="Calibri"/>
          <w:szCs w:val="24"/>
        </w:rPr>
        <w:t>.</w:t>
      </w:r>
    </w:p>
    <w:p w:rsidR="00854D1E" w:rsidP="00854D1E" w14:paraId="2BE20110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I</w:t>
      </w:r>
      <w:r w:rsidRPr="00C66768">
        <w:rPr>
          <w:rFonts w:cs="Calibri"/>
          <w:szCs w:val="24"/>
        </w:rPr>
        <w:t xml:space="preserve"> samband med att HSAN fattar beslut om prövotid</w:t>
      </w:r>
      <w:r w:rsidRPr="004F0E2B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på tre år </w:t>
      </w:r>
      <w:r w:rsidRPr="00C66768">
        <w:rPr>
          <w:rFonts w:cs="Calibri"/>
          <w:szCs w:val="24"/>
        </w:rPr>
        <w:t>ta</w:t>
      </w:r>
      <w:r>
        <w:rPr>
          <w:rFonts w:cs="Calibri"/>
          <w:szCs w:val="24"/>
        </w:rPr>
        <w:t>s även</w:t>
      </w:r>
      <w:r w:rsidRPr="00C66768">
        <w:rPr>
          <w:rFonts w:cs="Calibri"/>
          <w:szCs w:val="24"/>
        </w:rPr>
        <w:t xml:space="preserve"> ställning till </w:t>
      </w:r>
      <w:r>
        <w:rPr>
          <w:rFonts w:cs="Calibri"/>
          <w:szCs w:val="24"/>
        </w:rPr>
        <w:t xml:space="preserve">om av IVO föreslagen </w:t>
      </w:r>
      <w:r w:rsidRPr="00C66768">
        <w:rPr>
          <w:rFonts w:cs="Calibri"/>
          <w:szCs w:val="24"/>
        </w:rPr>
        <w:t>prövotidsplan ska beslutas</w:t>
      </w:r>
      <w:r>
        <w:rPr>
          <w:rFonts w:cs="Calibri"/>
          <w:szCs w:val="24"/>
        </w:rPr>
        <w:t xml:space="preserve">. </w:t>
      </w:r>
      <w:r w:rsidRPr="00C66768">
        <w:rPr>
          <w:rFonts w:cs="Calibri"/>
          <w:szCs w:val="24"/>
        </w:rPr>
        <w:t xml:space="preserve">I prövotidsplanen ska de villkor som gäller för yrkesutövaren under prövotiden anges. Om planen inte följs under prövotiden </w:t>
      </w:r>
      <w:r>
        <w:rPr>
          <w:rFonts w:cs="Calibri"/>
          <w:szCs w:val="24"/>
        </w:rPr>
        <w:t xml:space="preserve">kan det </w:t>
      </w:r>
      <w:r w:rsidRPr="00C66768">
        <w:rPr>
          <w:rFonts w:cs="Calibri"/>
          <w:szCs w:val="24"/>
        </w:rPr>
        <w:t>utgör</w:t>
      </w:r>
      <w:r>
        <w:rPr>
          <w:rFonts w:cs="Calibri"/>
          <w:szCs w:val="24"/>
        </w:rPr>
        <w:t>a</w:t>
      </w:r>
      <w:r w:rsidRPr="00C66768">
        <w:rPr>
          <w:rFonts w:cs="Calibri"/>
          <w:szCs w:val="24"/>
        </w:rPr>
        <w:t xml:space="preserve"> en grund för</w:t>
      </w:r>
      <w:r>
        <w:rPr>
          <w:rFonts w:cs="Calibri"/>
          <w:szCs w:val="24"/>
        </w:rPr>
        <w:t xml:space="preserve"> återkallelse av legitimation. </w:t>
      </w:r>
    </w:p>
    <w:p w:rsidR="00854D1E" w:rsidP="00854D1E" w14:paraId="184F8354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</w:p>
    <w:p w:rsidR="00854D1E" w:rsidRPr="00C66768" w:rsidP="00854D1E" w14:paraId="3D6DF00D" w14:textId="035E037D">
      <w:pPr>
        <w:autoSpaceDE w:val="0"/>
        <w:autoSpaceDN w:val="0"/>
        <w:adjustRightInd w:val="0"/>
        <w:spacing w:after="0"/>
        <w:rPr>
          <w:szCs w:val="24"/>
        </w:rPr>
      </w:pPr>
      <w:r w:rsidRPr="00C66768">
        <w:rPr>
          <w:rFonts w:cs="Calibri"/>
          <w:szCs w:val="24"/>
        </w:rPr>
        <w:t xml:space="preserve">Ansvaret för att följa planen och uppfylla villkoren ligger helt på </w:t>
      </w:r>
      <w:r>
        <w:rPr>
          <w:rFonts w:cs="Calibri"/>
          <w:szCs w:val="24"/>
        </w:rPr>
        <w:t xml:space="preserve">den enskilde </w:t>
      </w:r>
      <w:r w:rsidRPr="00C66768">
        <w:rPr>
          <w:rFonts w:cs="Calibri"/>
          <w:szCs w:val="24"/>
        </w:rPr>
        <w:t xml:space="preserve">yrkesutövaren. Villkoren kan </w:t>
      </w:r>
      <w:r w:rsidRPr="00C66768" w:rsidR="00614BBF">
        <w:rPr>
          <w:rFonts w:cs="Calibri"/>
          <w:szCs w:val="24"/>
        </w:rPr>
        <w:t>bland annat</w:t>
      </w:r>
      <w:r w:rsidRPr="00C66768">
        <w:rPr>
          <w:rFonts w:cs="Calibri"/>
          <w:szCs w:val="24"/>
        </w:rPr>
        <w:t xml:space="preserve"> avse regelbunden kontakt med </w:t>
      </w:r>
      <w:r>
        <w:rPr>
          <w:rFonts w:cs="Calibri"/>
          <w:szCs w:val="24"/>
        </w:rPr>
        <w:t>IVO</w:t>
      </w:r>
      <w:r w:rsidRPr="00C66768">
        <w:rPr>
          <w:rFonts w:cs="Calibri"/>
          <w:szCs w:val="24"/>
        </w:rPr>
        <w:t xml:space="preserve">, information om prövotid till arbetsgivare, upprättande av behandlingskontakter eller genomförande av kompetensutveckling beroende på vilka missförhållanden som ligger till grund för beslutet om prövotid. Villkoren kan även vara att regelbundet, </w:t>
      </w:r>
      <w:r w:rsidRPr="00C66768" w:rsidR="00614BBF">
        <w:rPr>
          <w:rFonts w:cs="Calibri"/>
          <w:szCs w:val="24"/>
        </w:rPr>
        <w:t>till exempel</w:t>
      </w:r>
      <w:r w:rsidRPr="00C66768">
        <w:rPr>
          <w:rFonts w:cs="Calibri"/>
          <w:szCs w:val="24"/>
        </w:rPr>
        <w:t xml:space="preserve"> var sjätte månad, inkomma med intyg över t.ex. behandling eller intyg från arbetsgivaren i någon specifik fråga.</w:t>
      </w:r>
    </w:p>
    <w:p w:rsidR="00854D1E" w:rsidP="00854D1E" w14:paraId="3D9F07F4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 w:rsidRPr="00C66768">
        <w:rPr>
          <w:rFonts w:cs="Calibri"/>
          <w:szCs w:val="24"/>
        </w:rPr>
        <w:t xml:space="preserve">När en prövotid är beslutad sänds ett beslut från HSAN till </w:t>
      </w:r>
      <w:r>
        <w:rPr>
          <w:rFonts w:cs="Calibri"/>
          <w:szCs w:val="24"/>
        </w:rPr>
        <w:t>IVO</w:t>
      </w:r>
      <w:r w:rsidRPr="00C66768">
        <w:rPr>
          <w:rFonts w:cs="Calibri"/>
          <w:szCs w:val="24"/>
        </w:rPr>
        <w:t xml:space="preserve">. Den regionala tillsynsenheten där yrkesutövaren är folkbokförd öppnar ett ärende för tillsyn av yrkesutövaren under prövotiden. </w:t>
      </w:r>
    </w:p>
    <w:p w:rsidR="00854D1E" w:rsidP="00854D1E" w14:paraId="1900DE54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</w:p>
    <w:p w:rsidR="00854D1E" w:rsidP="00854D1E" w14:paraId="515E0951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  <w:r>
        <w:rPr>
          <w:rFonts w:cs="Calibri"/>
          <w:szCs w:val="24"/>
        </w:rPr>
        <w:t>Socialstyrelsen skickar beslut om ändrad behörighet eller begränsad förskrivningsrätt till regionen.</w:t>
      </w:r>
    </w:p>
    <w:p w:rsidR="00854D1E" w:rsidP="00854D1E" w14:paraId="1F98493C" w14:textId="77777777">
      <w:pPr>
        <w:autoSpaceDE w:val="0"/>
        <w:autoSpaceDN w:val="0"/>
        <w:adjustRightInd w:val="0"/>
        <w:spacing w:after="0"/>
        <w:rPr>
          <w:rFonts w:cs="Calibri"/>
          <w:szCs w:val="24"/>
        </w:rPr>
      </w:pPr>
    </w:p>
    <w:p w:rsidR="00854D1E" w:rsidP="00854D1E" w14:paraId="303E5059" w14:textId="77777777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Rutin för ändrad behörighet för hälso- och sjukvårdspersonal (Centuri 18410) beskriver hur verksamhetschef/enhetschef informeras och vilka åtgärder som ska vidtas.</w:t>
      </w:r>
    </w:p>
    <w:p w:rsidR="00854D1E" w:rsidP="00854D1E" w14:paraId="619D4018" w14:textId="77777777">
      <w:pPr>
        <w:autoSpaceDE w:val="0"/>
        <w:autoSpaceDN w:val="0"/>
        <w:adjustRightInd w:val="0"/>
        <w:spacing w:after="0"/>
        <w:rPr>
          <w:szCs w:val="24"/>
        </w:rPr>
      </w:pPr>
    </w:p>
    <w:p w:rsidR="00854D1E" w:rsidRPr="0078080D" w:rsidP="00854D1E" w14:paraId="68B0C9C9" w14:textId="77777777"/>
    <w:p w:rsidR="00854D1E" w:rsidRPr="00921982" w:rsidP="00854D1E" w14:paraId="613A0187" w14:textId="77777777"/>
    <w:p w:rsidR="00F45001" w:rsidRPr="00854D1E" w:rsidP="00854D1E" w14:paraId="57568270" w14:textId="77777777"/>
    <w:sectPr w:rsidSect="00DD5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443" w:right="1871" w:bottom="1701" w:left="1871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D1E" w14:paraId="3C1946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279384D6" w14:textId="77777777" w:rsidTr="00562FD0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854D1E" w:rsidRPr="00F45001" w:rsidP="00854D1E" w14:paraId="0F75E34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4262" w:type="dxa"/>
          <w:shd w:val="clear" w:color="auto" w:fill="FFFFFF"/>
        </w:tcPr>
        <w:p w:rsidR="00854D1E" w:rsidRPr="00F45001" w:rsidP="00854D1E" w14:paraId="389C9B0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GRANSKA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T</w:t>
          </w: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 xml:space="preserve"> AV</w:t>
          </w:r>
        </w:p>
      </w:tc>
      <w:tc>
        <w:tcPr>
          <w:tcW w:w="1838" w:type="dxa"/>
          <w:gridSpan w:val="2"/>
          <w:shd w:val="clear" w:color="auto" w:fill="FFFFFF"/>
        </w:tcPr>
        <w:p w:rsidR="00854D1E" w:rsidRPr="00F45001" w:rsidP="00854D1E" w14:paraId="6AF3D732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0AB33409" w14:textId="77777777" w:rsidTr="00562FD0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854D1E" w:rsidRPr="00F45001" w:rsidP="00854D1E" w14:paraId="615BE054" w14:textId="54307ECB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C_Approvers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852DA7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Maria Söderkvist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  <w:p w:rsidR="00854D1E" w:rsidRPr="00F45001" w:rsidP="00854D1E" w14:paraId="1CB9E783" w14:textId="77777777">
          <w:pPr>
            <w:jc w:val="center"/>
            <w:rPr>
              <w:sz w:val="13"/>
              <w:szCs w:val="13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854D1E" w:rsidRPr="00F45001" w:rsidP="00854D1E" w14:paraId="22F33CC5" w14:textId="4DA87CE2">
          <w:pPr>
            <w:tabs>
              <w:tab w:val="center" w:pos="4536"/>
              <w:tab w:val="right" w:pos="9072"/>
            </w:tabs>
            <w:spacing w:line="230" w:lineRule="atLeast"/>
            <w:rPr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C_Reviewers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852DA7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Mattias Skielta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854D1E" w:rsidRPr="00F45001" w:rsidP="00854D1E" w14:paraId="686F2389" w14:textId="4976B9C0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C_ValidFrom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852DA7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2020-08-18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6AD6F58" w14:textId="77777777" w:rsidTr="00562FD0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854D1E" w:rsidRPr="00F45001" w:rsidP="00854D1E" w14:paraId="17DFFB03" w14:textId="77777777">
          <w:pPr>
            <w:tabs>
              <w:tab w:val="center" w:pos="4536"/>
              <w:tab w:val="right" w:pos="9072"/>
            </w:tabs>
            <w:jc w:val="center"/>
            <w:rPr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</w:t>
          </w:r>
          <w:r w:rsidRPr="00F45001">
            <w:rPr>
              <w:sz w:val="13"/>
              <w:szCs w:val="13"/>
              <w:lang w:eastAsia="sv-SE"/>
            </w:rPr>
            <w:t>.</w:t>
          </w:r>
        </w:p>
      </w:tc>
    </w:tr>
  </w:tbl>
  <w:p w:rsidR="00854D1E" w:rsidRPr="00F45001" w:rsidP="00854D1E" w14:paraId="469540D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D1E" w:rsidP="00854D1E" w14:paraId="2AB385A7" w14:textId="77777777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5379085</wp:posOffset>
          </wp:positionH>
          <wp:positionV relativeFrom="page">
            <wp:posOffset>9746615</wp:posOffset>
          </wp:positionV>
          <wp:extent cx="1753200" cy="673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D1E" w14:paraId="0DCA77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D1E" w:rsidRPr="00AB5EA8" w:rsidP="00854D1E" w14:paraId="30B5789A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35DE7AB6" w14:textId="77777777" w:rsidTr="00562FD0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854D1E" w:rsidRPr="008B4E31" w:rsidP="00854D1E" w14:paraId="3CE087CF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854D1E" w:rsidRPr="008877DB" w:rsidP="00854D1E" w14:paraId="0CC6DE34" w14:textId="69000D7D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instrText xml:space="preserve"> DOCPROPERTY C_Workflow \* MERGEFORMAT \*Upper </w:instrTex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separate"/>
          </w:r>
          <w:r w:rsidR="00852DA7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854D1E" w:rsidRPr="008877DB" w:rsidP="00854D1E" w14:paraId="444727BD" w14:textId="5668AB54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olor w:val="7F7F7F"/>
              <w:sz w:val="13"/>
            </w:rPr>
            <w:instrText xml:space="preserve"> DOCPROPERTY C_Title \* MERGEFORMAT \* FirstCap </w:instrTex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separate"/>
          </w:r>
          <w:r w:rsidR="00852DA7">
            <w:rPr>
              <w:rFonts w:asciiTheme="minorHAnsi" w:hAnsiTheme="minorHAnsi" w:cstheme="minorHAnsi"/>
              <w:color w:val="7F7F7F"/>
              <w:sz w:val="13"/>
            </w:rPr>
            <w:t>Anmälningsskyldighet till IVO om leg. hälso- och sjukvårdspersonal kan utgöra en fara för patientsäkerheten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854D1E" w:rsidRPr="008877DB" w:rsidP="00854D1E" w14:paraId="78CC55FF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6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>
            <w:rPr>
              <w:rFonts w:cstheme="minorHAnsi"/>
              <w:noProof/>
              <w:color w:val="7F7F7F"/>
              <w:sz w:val="13"/>
            </w:rPr>
            <w:fldChar w:fldCharType="begin"/>
          </w:r>
          <w:r>
            <w:rPr>
              <w:rFonts w:cstheme="minorHAnsi"/>
              <w:noProof/>
              <w:color w:val="7F7F7F"/>
              <w:sz w:val="13"/>
            </w:rPr>
            <w:instrText xml:space="preserve"> NUMPAGES  \* Arabic  \* MERGEFORMAT </w:instrText>
          </w:r>
          <w:r>
            <w:rPr>
              <w:rFonts w:cstheme="minorHAnsi"/>
              <w:noProof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854D1E" w:rsidRPr="008877DB" w:rsidP="00854D1E" w14:paraId="520C1DC2" w14:textId="702E47A8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C_DocumentNumber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852DA7">
            <w:rPr>
              <w:rFonts w:cstheme="minorHAnsi"/>
              <w:color w:val="7F7F7F"/>
              <w:sz w:val="13"/>
            </w:rPr>
            <w:t>29206-6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294C6E84" w14:textId="77777777" w:rsidTr="00562FD0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854D1E" w:rsidRPr="008877DB" w:rsidP="00854D1E" w14:paraId="33166CCA" w14:textId="56A2D2BD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852DA7">
            <w:rPr>
              <w:rFonts w:cstheme="minorHAnsi"/>
              <w:color w:val="7F7F7F"/>
              <w:sz w:val="13"/>
            </w:rPr>
            <w:t>Patientsäkerhet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854D1E" w:rsidRPr="008877DB" w:rsidP="00854D1E" w14:paraId="7E583E99" w14:textId="061E6153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Mattias Skielta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854D1E" w:rsidRPr="008B4E31" w:rsidP="00854D1E" w14:paraId="1A665CC9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854D1E" w:rsidRPr="008B4E31" w:rsidP="00854D1E" w14:paraId="64023F64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854D1E" w:rsidRPr="008B4E31" w:rsidP="00854D1E" w14:paraId="4546DE42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854D1E" w:rsidRPr="008B4E31" w:rsidP="00854D1E" w14:paraId="4AC95847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854D1E" w:rsidRPr="00AB5EA8" w:rsidP="00854D1E" w14:paraId="743885CE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4D1E" w:rsidP="00854D1E" w14:paraId="0C7D688B" w14:textId="77777777">
    <w:pPr>
      <w:pStyle w:val="Header"/>
      <w:tabs>
        <w:tab w:val="left" w:pos="2085"/>
        <w:tab w:val="clear" w:pos="4536"/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15D06BE"/>
    <w:multiLevelType w:val="hybridMultilevel"/>
    <w:tmpl w:val="808E5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54E78"/>
    <w:multiLevelType w:val="hybridMultilevel"/>
    <w:tmpl w:val="4386F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621D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C5F12"/>
    <w:multiLevelType w:val="hybridMultilevel"/>
    <w:tmpl w:val="BE30E240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01909"/>
    <w:multiLevelType w:val="hybridMultilevel"/>
    <w:tmpl w:val="3478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3309B"/>
    <w:multiLevelType w:val="hybridMultilevel"/>
    <w:tmpl w:val="F2DEEB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9"/>
  </w:num>
  <w:num w:numId="24">
    <w:abstractNumId w:val="21"/>
  </w:num>
  <w:num w:numId="25">
    <w:abstractNumId w:val="2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r5mD5glqOKqNtDwvcTwWoY2hj2pme6Ey5lZYgmpgyfw916mDcrpBNJD+sycqVU9CwTEXemXkcJR0&#10;3pXnfjmKHg==&#10;" w:salt="AegCWZRozBLwI95+NggdXA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F"/>
    <w:rsid w:val="00001089"/>
    <w:rsid w:val="00003DD7"/>
    <w:rsid w:val="000364F5"/>
    <w:rsid w:val="000417F4"/>
    <w:rsid w:val="0004443D"/>
    <w:rsid w:val="000559F7"/>
    <w:rsid w:val="00060C2E"/>
    <w:rsid w:val="00077AB2"/>
    <w:rsid w:val="00083F0A"/>
    <w:rsid w:val="0009433F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8483D"/>
    <w:rsid w:val="00190C5E"/>
    <w:rsid w:val="001A446A"/>
    <w:rsid w:val="001B0D52"/>
    <w:rsid w:val="001B1282"/>
    <w:rsid w:val="001B58E8"/>
    <w:rsid w:val="001B7097"/>
    <w:rsid w:val="001B71DC"/>
    <w:rsid w:val="001D127A"/>
    <w:rsid w:val="001E1BEB"/>
    <w:rsid w:val="001E3C4D"/>
    <w:rsid w:val="00200E84"/>
    <w:rsid w:val="00217CC4"/>
    <w:rsid w:val="0022259F"/>
    <w:rsid w:val="00223BF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1BB6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B1650"/>
    <w:rsid w:val="003B225C"/>
    <w:rsid w:val="003F5483"/>
    <w:rsid w:val="003F6EEC"/>
    <w:rsid w:val="003F700D"/>
    <w:rsid w:val="00415C04"/>
    <w:rsid w:val="004446DE"/>
    <w:rsid w:val="00447366"/>
    <w:rsid w:val="0045201F"/>
    <w:rsid w:val="0045632E"/>
    <w:rsid w:val="004569FA"/>
    <w:rsid w:val="0046708B"/>
    <w:rsid w:val="00475373"/>
    <w:rsid w:val="00486302"/>
    <w:rsid w:val="004F0685"/>
    <w:rsid w:val="004F0E2B"/>
    <w:rsid w:val="004F29E8"/>
    <w:rsid w:val="004F462C"/>
    <w:rsid w:val="005121B9"/>
    <w:rsid w:val="00531BB9"/>
    <w:rsid w:val="00537E25"/>
    <w:rsid w:val="00544271"/>
    <w:rsid w:val="005446D5"/>
    <w:rsid w:val="00544C1D"/>
    <w:rsid w:val="00560E21"/>
    <w:rsid w:val="00562738"/>
    <w:rsid w:val="00562FD0"/>
    <w:rsid w:val="005831EF"/>
    <w:rsid w:val="005939B5"/>
    <w:rsid w:val="00594684"/>
    <w:rsid w:val="005A49D5"/>
    <w:rsid w:val="005A7792"/>
    <w:rsid w:val="005B4D5E"/>
    <w:rsid w:val="005B4D71"/>
    <w:rsid w:val="005C103C"/>
    <w:rsid w:val="005C5B00"/>
    <w:rsid w:val="005D3A5D"/>
    <w:rsid w:val="005D569C"/>
    <w:rsid w:val="005F023F"/>
    <w:rsid w:val="00601A1F"/>
    <w:rsid w:val="0061408B"/>
    <w:rsid w:val="00614BBF"/>
    <w:rsid w:val="00635184"/>
    <w:rsid w:val="00636904"/>
    <w:rsid w:val="006378DD"/>
    <w:rsid w:val="0064178B"/>
    <w:rsid w:val="006759FC"/>
    <w:rsid w:val="006869DF"/>
    <w:rsid w:val="006A799E"/>
    <w:rsid w:val="006B4615"/>
    <w:rsid w:val="006D4CA5"/>
    <w:rsid w:val="0073162A"/>
    <w:rsid w:val="0074542B"/>
    <w:rsid w:val="00755B00"/>
    <w:rsid w:val="00765F42"/>
    <w:rsid w:val="00770681"/>
    <w:rsid w:val="00771348"/>
    <w:rsid w:val="00771AF0"/>
    <w:rsid w:val="0078080D"/>
    <w:rsid w:val="00781EF3"/>
    <w:rsid w:val="00795451"/>
    <w:rsid w:val="007A01F4"/>
    <w:rsid w:val="007A4E68"/>
    <w:rsid w:val="007B5819"/>
    <w:rsid w:val="007C6633"/>
    <w:rsid w:val="007E478A"/>
    <w:rsid w:val="007E4D01"/>
    <w:rsid w:val="007F21C4"/>
    <w:rsid w:val="007F3EEE"/>
    <w:rsid w:val="007F7906"/>
    <w:rsid w:val="0080591F"/>
    <w:rsid w:val="008212A3"/>
    <w:rsid w:val="0082473C"/>
    <w:rsid w:val="00826305"/>
    <w:rsid w:val="00827D3D"/>
    <w:rsid w:val="008350E1"/>
    <w:rsid w:val="00844C39"/>
    <w:rsid w:val="008463CA"/>
    <w:rsid w:val="00852DA7"/>
    <w:rsid w:val="00854D1E"/>
    <w:rsid w:val="00854E4A"/>
    <w:rsid w:val="008715B0"/>
    <w:rsid w:val="00872913"/>
    <w:rsid w:val="008877DB"/>
    <w:rsid w:val="00893966"/>
    <w:rsid w:val="008B4E31"/>
    <w:rsid w:val="008E037E"/>
    <w:rsid w:val="009057ED"/>
    <w:rsid w:val="00910116"/>
    <w:rsid w:val="009112F5"/>
    <w:rsid w:val="00915A37"/>
    <w:rsid w:val="00921982"/>
    <w:rsid w:val="00934B35"/>
    <w:rsid w:val="00940225"/>
    <w:rsid w:val="0095109C"/>
    <w:rsid w:val="00952645"/>
    <w:rsid w:val="00963A91"/>
    <w:rsid w:val="00965EE0"/>
    <w:rsid w:val="00982122"/>
    <w:rsid w:val="00985EE2"/>
    <w:rsid w:val="009B6439"/>
    <w:rsid w:val="009C60CD"/>
    <w:rsid w:val="009D3F94"/>
    <w:rsid w:val="009E07A4"/>
    <w:rsid w:val="009F5473"/>
    <w:rsid w:val="00A02232"/>
    <w:rsid w:val="00A039E9"/>
    <w:rsid w:val="00A17C9B"/>
    <w:rsid w:val="00A20DC9"/>
    <w:rsid w:val="00A31534"/>
    <w:rsid w:val="00A319E4"/>
    <w:rsid w:val="00A52F84"/>
    <w:rsid w:val="00A56EED"/>
    <w:rsid w:val="00A67FE1"/>
    <w:rsid w:val="00A74E39"/>
    <w:rsid w:val="00A770F3"/>
    <w:rsid w:val="00A819AD"/>
    <w:rsid w:val="00A91FEB"/>
    <w:rsid w:val="00A9556D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6296F"/>
    <w:rsid w:val="00B87B4F"/>
    <w:rsid w:val="00B935F2"/>
    <w:rsid w:val="00BC0851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66768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2069"/>
    <w:rsid w:val="00DD0DBC"/>
    <w:rsid w:val="00DD59AC"/>
    <w:rsid w:val="00DE67D1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7568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3D13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53A10B3"/>
  <w15:docId w15:val="{1BBFCD67-A14C-41A5-8079-9DC58847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,Normal - RJH"/>
    <w:qFormat/>
    <w:rsid w:val="00854D1E"/>
    <w:pPr>
      <w:spacing w:after="100" w:line="260" w:lineRule="atLeast"/>
    </w:pPr>
    <w:rPr>
      <w:rFonts w:ascii="Verdana" w:hAnsi="Verdana" w:cs="Times New Roman"/>
      <w:sz w:val="20"/>
    </w:rPr>
  </w:style>
  <w:style w:type="paragraph" w:styleId="Heading1">
    <w:name w:val="heading 1"/>
    <w:aliases w:val="Rubrik 1 - RJH"/>
    <w:next w:val="Normal"/>
    <w:link w:val="Rubrik1Char"/>
    <w:uiPriority w:val="9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rPr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RJH">
    <w:name w:val="Brödtext RJH"/>
    <w:qFormat/>
    <w:rsid w:val="007A4E68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customStyle="1" w:styleId="Frsttsblad14">
    <w:name w:val="Försättsblad 14"/>
    <w:basedOn w:val="Normal"/>
    <w:rsid w:val="00854D1E"/>
    <w:pPr>
      <w:contextualSpacing/>
    </w:pPr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rsid w:val="00854D1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rjh.centuri.se/RegNo/47506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ni9\AppData\Local\Temp\98\~cc4044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EFACF4-6863-40A2-8F0F-B87E7CEA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~cc4044.tmp</Template>
  <TotalTime>0</TotalTime>
  <Pages>6</Pages>
  <Words>1096</Words>
  <Characters>6972</Characters>
  <Application>Microsoft Office Word</Application>
  <DocSecurity>8</DocSecurity>
  <Lines>178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Jämtlands Läns Landsting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Anmälningsskyldighet till IVO om leg. hälso- och sjukvårdspersonal kan utgöra en fara för patientsäkerheten</dc:title>
  <dc:creator>Marianne Nilsson</dc:creator>
  <cp:lastModifiedBy>Katarina Kempe</cp:lastModifiedBy>
  <cp:revision>2</cp:revision>
  <cp:lastPrinted>2015-10-27T14:22:00Z</cp:lastPrinted>
  <dcterms:created xsi:type="dcterms:W3CDTF">2020-08-18T08:15:00Z</dcterms:created>
  <dcterms:modified xsi:type="dcterms:W3CDTF">2020-08-18T08:15:00Z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https://rjh.centuri.se:443/command/workflow/29206/comment</vt:lpwstr>
  </property>
  <property fmtid="{D5CDD505-2E9C-101B-9397-08002B2CF9AE}" pid="3" name="C_Approved">
    <vt:lpwstr>2020-08-17</vt:lpwstr>
  </property>
  <property fmtid="{D5CDD505-2E9C-101B-9397-08002B2CF9AE}" pid="4" name="C_ApprovedDate">
    <vt:lpwstr>2020-08-17</vt:lpwstr>
  </property>
  <property fmtid="{D5CDD505-2E9C-101B-9397-08002B2CF9AE}" pid="5" name="C_Approvers">
    <vt:lpwstr>Maria Söderkvist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Hälso- och sjukvård</vt:lpwstr>
  </property>
  <property fmtid="{D5CDD505-2E9C-101B-9397-08002B2CF9AE}" pid="10" name="C_AuditDate">
    <vt:lpwstr>2022-08-18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Rutin</vt:lpwstr>
  </property>
  <property fmtid="{D5CDD505-2E9C-101B-9397-08002B2CF9AE}" pid="14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5" name="C_CategoryId">
    <vt:lpwstr>5cd817f1-18f9-579a-ab92-c674c22bf197</vt:lpwstr>
  </property>
  <property fmtid="{D5CDD505-2E9C-101B-9397-08002B2CF9AE}" pid="16" name="C_Comparable">
    <vt:lpwstr>True</vt:lpwstr>
  </property>
  <property fmtid="{D5CDD505-2E9C-101B-9397-08002B2CF9AE}" pid="17" name="C_Created">
    <vt:lpwstr>2020-08-14</vt:lpwstr>
  </property>
  <property fmtid="{D5CDD505-2E9C-101B-9397-08002B2CF9AE}" pid="18" name="C_CreatedBy">
    <vt:lpwstr>Marianne Nilsson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Patientsäkerhet</vt:lpwstr>
  </property>
  <property fmtid="{D5CDD505-2E9C-101B-9397-08002B2CF9AE}" pid="23" name="C_CreatedBy_WorkUnitPath">
    <vt:lpwstr>Region Jämtland Härjedalen / Hälso- och sjukvård / Patientsäkerhet</vt:lpwstr>
  </property>
  <property fmtid="{D5CDD505-2E9C-101B-9397-08002B2CF9AE}" pid="24" name="C_CreatedDate">
    <vt:lpwstr>2020-08-14</vt:lpwstr>
  </property>
  <property fmtid="{D5CDD505-2E9C-101B-9397-08002B2CF9AE}" pid="25" name="C_Description">
    <vt:lpwstr>Rutin för anmälningsskyldighet till Inspektionen för vård och omsorg om legitimerad hälso- och sjukvårdspersonal kan utgöra en fara för patientsäkerheten</vt:lpwstr>
  </property>
  <property fmtid="{D5CDD505-2E9C-101B-9397-08002B2CF9AE}" pid="26" name="C_DocumentNumber">
    <vt:lpwstr>29206-6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be155156-d28d-4a42-a39c-c81a89571ff0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6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https://rjh.centuri.se:443/RegNo/29206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https://rjh.centuri.se:443/Compare/29206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Mattias Skielta</vt:lpwstr>
  </property>
  <property fmtid="{D5CDD505-2E9C-101B-9397-08002B2CF9AE}" pid="45" name="C_Owners">
    <vt:lpwstr>Mattias Skielta</vt:lpwstr>
  </property>
  <property fmtid="{D5CDD505-2E9C-101B-9397-08002B2CF9AE}" pid="46" name="C_Owner_Email">
    <vt:lpwstr>mattias.skielta@regionjh.se</vt:lpwstr>
  </property>
  <property fmtid="{D5CDD505-2E9C-101B-9397-08002B2CF9AE}" pid="47" name="C_Owner_FamilyName">
    <vt:lpwstr>Skielta</vt:lpwstr>
  </property>
  <property fmtid="{D5CDD505-2E9C-101B-9397-08002B2CF9AE}" pid="48" name="C_Owner_GivenName">
    <vt:lpwstr>Mattias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mask3</vt:lpwstr>
  </property>
  <property fmtid="{D5CDD505-2E9C-101B-9397-08002B2CF9AE}" pid="53" name="C_Owner_WorkUnit">
    <vt:lpwstr>Patientsäkerhet</vt:lpwstr>
  </property>
  <property fmtid="{D5CDD505-2E9C-101B-9397-08002B2CF9AE}" pid="54" name="C_Owner_WorkUnitPath">
    <vt:lpwstr>Region Jämtland Härjedalen / Hälso- och sjukvård / Patientsäkerhet</vt:lpwstr>
  </property>
  <property fmtid="{D5CDD505-2E9C-101B-9397-08002B2CF9AE}" pid="55" name="C_Owner_WorkUnit_ExternalId">
    <vt:lpwstr/>
  </property>
  <property fmtid="{D5CDD505-2E9C-101B-9397-08002B2CF9AE}" pid="56" name="C_RegistrationNumber">
    <vt:lpwstr>29206</vt:lpwstr>
  </property>
  <property fmtid="{D5CDD505-2E9C-101B-9397-08002B2CF9AE}" pid="57" name="C_RegistrationNumberId">
    <vt:lpwstr>afe0fad4-ee53-46bf-8586-cc2321a681d8</vt:lpwstr>
  </property>
  <property fmtid="{D5CDD505-2E9C-101B-9397-08002B2CF9AE}" pid="58" name="C_RegNo">
    <vt:lpwstr>29206-6</vt:lpwstr>
  </property>
  <property fmtid="{D5CDD505-2E9C-101B-9397-08002B2CF9AE}" pid="59" name="C_Restricted">
    <vt:lpwstr>False</vt:lpwstr>
  </property>
  <property fmtid="{D5CDD505-2E9C-101B-9397-08002B2CF9AE}" pid="60" name="C_Reviewed">
    <vt:lpwstr>2020-08-17</vt:lpwstr>
  </property>
  <property fmtid="{D5CDD505-2E9C-101B-9397-08002B2CF9AE}" pid="61" name="C_ReviewedDate">
    <vt:lpwstr>2020-08-17</vt:lpwstr>
  </property>
  <property fmtid="{D5CDD505-2E9C-101B-9397-08002B2CF9AE}" pid="62" name="C_Reviewers">
    <vt:lpwstr>Mattias Skielta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Patientsäkerhet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Avslut, uppsägning eller omställning, Hantera ärenden till/från IVO, LÖF och Patientnämnden</vt:lpwstr>
  </property>
  <property fmtid="{D5CDD505-2E9C-101B-9397-08002B2CF9AE}" pid="72" name="C_Template">
    <vt:lpwstr>Word-dokument med försättsblad, granskare, godkännare och giltighetstid</vt:lpwstr>
  </property>
  <property fmtid="{D5CDD505-2E9C-101B-9397-08002B2CF9AE}" pid="73" name="C_Title">
    <vt:lpwstr>Anmälningsskyldighet till IVO om leg. hälso- och sjukvårdspersonal kan utgöra en fara för patientsäkerheten</vt:lpwstr>
  </property>
  <property fmtid="{D5CDD505-2E9C-101B-9397-08002B2CF9AE}" pid="74" name="C_UpdatedWhen">
    <vt:lpwstr>2020-11-20</vt:lpwstr>
  </property>
  <property fmtid="{D5CDD505-2E9C-101B-9397-08002B2CF9AE}" pid="75" name="C_UpdatedWhenDate">
    <vt:lpwstr>2020-11-20</vt:lpwstr>
  </property>
  <property fmtid="{D5CDD505-2E9C-101B-9397-08002B2CF9AE}" pid="76" name="C_ValidFrom">
    <vt:lpwstr>2020-08-18</vt:lpwstr>
  </property>
  <property fmtid="{D5CDD505-2E9C-101B-9397-08002B2CF9AE}" pid="77" name="C_ValidFromDate">
    <vt:lpwstr>2020-08-18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Rutin</vt:lpwstr>
  </property>
  <property fmtid="{D5CDD505-2E9C-101B-9397-08002B2CF9AE}" pid="82" name="C_WorkflowId">
    <vt:lpwstr>1e34cdb3-7a79-50b3-937f-a1a3611053c5</vt:lpwstr>
  </property>
  <property fmtid="{D5CDD505-2E9C-101B-9397-08002B2CF9AE}" pid="83" name="C_WorkUnit">
    <vt:lpwstr>Patientsäkerhet</vt:lpwstr>
  </property>
  <property fmtid="{D5CDD505-2E9C-101B-9397-08002B2CF9AE}" pid="84" name="C_WorkUnitPath">
    <vt:lpwstr>Region Jämtland Härjedalen / Hälso- och sjukvård / Patientsäkerhet</vt:lpwstr>
  </property>
  <property fmtid="{D5CDD505-2E9C-101B-9397-08002B2CF9AE}" pid="85" name="DistributionMessage">
    <vt:lpwstr/>
  </property>
  <property fmtid="{D5CDD505-2E9C-101B-9397-08002B2CF9AE}" pid="86" name="DocumentNo">
    <vt:lpwstr>29206-6</vt:lpwstr>
  </property>
  <property fmtid="{D5CDD505-2E9C-101B-9397-08002B2CF9AE}" pid="87" name="Folder">
    <vt:lpwstr>Den enda mappen</vt:lpwstr>
  </property>
  <property fmtid="{D5CDD505-2E9C-101B-9397-08002B2CF9AE}" pid="88" name="MSIP_Label_3b0b0de0-301b-43bc-be01-b232acb4eea4_ActionId">
    <vt:lpwstr>caacc941-456f-4d47-a9e9-f52600a959c1</vt:lpwstr>
  </property>
  <property fmtid="{D5CDD505-2E9C-101B-9397-08002B2CF9AE}" pid="89" name="MSIP_Label_3b0b0de0-301b-43bc-be01-b232acb4eea4_Application">
    <vt:lpwstr>Microsoft Azure Information Protection</vt:lpwstr>
  </property>
  <property fmtid="{D5CDD505-2E9C-101B-9397-08002B2CF9AE}" pid="90" name="MSIP_Label_3b0b0de0-301b-43bc-be01-b232acb4eea4_Enabled">
    <vt:lpwstr>True</vt:lpwstr>
  </property>
  <property fmtid="{D5CDD505-2E9C-101B-9397-08002B2CF9AE}" pid="91" name="MSIP_Label_3b0b0de0-301b-43bc-be01-b232acb4eea4_Extended_MSFT_Method">
    <vt:lpwstr>Automatic</vt:lpwstr>
  </property>
  <property fmtid="{D5CDD505-2E9C-101B-9397-08002B2CF9AE}" pid="92" name="MSIP_Label_3b0b0de0-301b-43bc-be01-b232acb4eea4_Name">
    <vt:lpwstr>Intern</vt:lpwstr>
  </property>
  <property fmtid="{D5CDD505-2E9C-101B-9397-08002B2CF9AE}" pid="93" name="MSIP_Label_3b0b0de0-301b-43bc-be01-b232acb4eea4_Owner">
    <vt:lpwstr>marianne.9.nilsson@regionjh.se</vt:lpwstr>
  </property>
  <property fmtid="{D5CDD505-2E9C-101B-9397-08002B2CF9AE}" pid="94" name="MSIP_Label_3b0b0de0-301b-43bc-be01-b232acb4eea4_SetDate">
    <vt:lpwstr>2020-08-14T05:51:31.6055768Z</vt:lpwstr>
  </property>
  <property fmtid="{D5CDD505-2E9C-101B-9397-08002B2CF9AE}" pid="95" name="MSIP_Label_3b0b0de0-301b-43bc-be01-b232acb4eea4_SiteId">
    <vt:lpwstr>d3b4cf3a-ca77-4a02-aefa-f4398591468f</vt:lpwstr>
  </property>
  <property fmtid="{D5CDD505-2E9C-101B-9397-08002B2CF9AE}" pid="96" name="Sensitivity">
    <vt:lpwstr>Intern</vt:lpwstr>
  </property>
</Properties>
</file>