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71" w:rsidRPr="009F5473" w:rsidRDefault="00DC79CA" w:rsidP="0024266E">
      <w:pPr>
        <w:pStyle w:val="Rubrik1"/>
        <w:tabs>
          <w:tab w:val="left" w:pos="2793"/>
        </w:tabs>
        <w:spacing w:before="400"/>
      </w:pPr>
      <w:r>
        <w:t>Historik avslutade aktiviteter SVOM</w:t>
      </w:r>
    </w:p>
    <w:tbl>
      <w:tblPr>
        <w:tblStyle w:val="Tabellrutnt1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9850"/>
      </w:tblGrid>
      <w:tr w:rsidR="00DC79CA" w:rsidRPr="00DC79CA" w:rsidTr="00DC79CA">
        <w:tc>
          <w:tcPr>
            <w:tcW w:w="3936" w:type="dxa"/>
            <w:shd w:val="clear" w:color="auto" w:fill="EEECE1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2011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Haverikommissionen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Införd 2011 (ÖSD/JLL) efterfrågas vb av andra kommuner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och överenskommelser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angående distriktssköterskeinsatser (tecknat 2011)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Rutiner vårdplanering (uppdaterade 2011)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arbetsterapeuter och sjukgymnaster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Process Äldres hälsa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Översyn av verksamhetsplan för processen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DC79CA">
        <w:tc>
          <w:tcPr>
            <w:tcW w:w="3936" w:type="dxa"/>
            <w:shd w:val="clear" w:color="auto" w:fill="EEECE1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2012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Överenskommelse psykiatri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Ök psykiatri mellan kommunerna i Jämtlands län och JLL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Olika handlingsplaner, vård av äldre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Handlingsplaner; evidensbaserad praktik, handlingsplan 1 för äldreområdet, ökad livskvalitet för äldre sammanslagna till en handlingsplan.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Förebyggande hembesök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Ej genomförd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Nationella riktlinjer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Modell för implementering av nationella riktlinjer där både landsting och kommuner är aktiva parter.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Uppbyggnad av  beroendeenhet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Beroendeenhet startad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 xml:space="preserve">Övergripande avtal och överenskommelser inom beroendevård 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Samordnad individuell plan (SIP)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 xml:space="preserve">Införd 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DC79CA">
        <w:tc>
          <w:tcPr>
            <w:tcW w:w="3936" w:type="dxa"/>
            <w:shd w:val="clear" w:color="auto" w:fill="EEECE1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2013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Tillnyktringsenheten (TNE)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 xml:space="preserve">Framtagen modell för analys av gemensamma indikatorer i Öppna jämförelser  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samverkansdokument demens vård- och omsorg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handlingsplan för personer med psykisk funktionsnedsättning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avtal för arbetsterapeuter och sjukgymnaster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Geriatriskt stöd</w:t>
            </w:r>
          </w:p>
        </w:tc>
      </w:tr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remiss om Ny gemensam hälso- och sjukvårdspolitik</w:t>
            </w:r>
          </w:p>
        </w:tc>
      </w:tr>
    </w:tbl>
    <w:tbl>
      <w:tblPr>
        <w:tblStyle w:val="Tabellrutnt2"/>
        <w:tblW w:w="0" w:type="auto"/>
        <w:tblInd w:w="-851" w:type="dxa"/>
        <w:tblLook w:val="04A0" w:firstRow="1" w:lastRow="0" w:firstColumn="1" w:lastColumn="0" w:noHBand="0" w:noVBand="1"/>
      </w:tblPr>
      <w:tblGrid>
        <w:gridCol w:w="3936"/>
        <w:gridCol w:w="9850"/>
      </w:tblGrid>
      <w:tr w:rsidR="00DC79CA" w:rsidRPr="00DC79CA" w:rsidTr="00936A0B">
        <w:tc>
          <w:tcPr>
            <w:tcW w:w="3936" w:type="dxa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DC79CA">
        <w:tc>
          <w:tcPr>
            <w:tcW w:w="3936" w:type="dxa"/>
            <w:shd w:val="clear" w:color="auto" w:fill="EEECE1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2014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 xml:space="preserve">Beslut att MAS och MAR- grupp ska vara remissinstans för kommunala hälso- och sjukvårdsfrågor i samverkan med landstinget  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om tillsättande av länsövergripande utvecklingsgrupp (nuvarande RUG)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om avveckling av Haverikommissionen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syn – och hörsel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Avtal arbetsterapeuter och sjukgymnaster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om strategi och handlingsplan för personer med funktionsnedsättning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Beslut om handlingsplan för gemensam hälso- och sjukvårdspolitik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2015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Uppföljning av samverkansdokument demensvård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Uppdragsbeskrivning för Torsdagsgruppen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Uppföljning handlingsplan Mest sjuka äldre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Rutin för gemensamma rutiner med Region JH och kommunerna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Gemensam SVOM Västernorrland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  <w:r w:rsidRPr="00DC79CA">
              <w:rPr>
                <w:rFonts w:ascii="Garamond" w:eastAsia="Calibri" w:hAnsi="Garamond" w:cs="Times New Roman"/>
                <w:b/>
                <w:szCs w:val="20"/>
              </w:rPr>
              <w:t>2016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Utredning gällande stöd kommunikation och kognition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Utvärdering geriatriskt stöd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Pilot Trygg och säker hemma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Överenskommelse mellan kommunerna och RJH om sjukresor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R ACT team, SVOM godkänt förslag om införande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SVOM beslutat om tre prioriterade områden: välfärdsteknologi, kompetensförsörjning, vård på rätt nivå.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eHälsa slutrapport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 w:rsidRPr="00DC79CA">
              <w:rPr>
                <w:rFonts w:ascii="Garamond" w:eastAsia="Calibri" w:hAnsi="Garamond" w:cs="Times New Roman"/>
                <w:szCs w:val="20"/>
              </w:rPr>
              <w:t>Gemensam SVOM med Västernorrland</w:t>
            </w: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  <w:r>
              <w:rPr>
                <w:rFonts w:ascii="Garamond" w:eastAsia="Calibri" w:hAnsi="Garamond" w:cs="Times New Roman"/>
                <w:b/>
                <w:szCs w:val="20"/>
              </w:rPr>
              <w:lastRenderedPageBreak/>
              <w:t>2017</w:t>
            </w: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  <w:r>
              <w:rPr>
                <w:rFonts w:ascii="Garamond" w:eastAsia="Calibri" w:hAnsi="Garamond" w:cs="Times New Roman"/>
                <w:szCs w:val="20"/>
              </w:rPr>
              <w:t>Genomförd temadag Strategi för Hälsa</w:t>
            </w:r>
            <w:bookmarkStart w:id="0" w:name="_GoBack"/>
            <w:bookmarkEnd w:id="0"/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  <w:tr w:rsidR="00DC79CA" w:rsidRPr="00DC79CA" w:rsidTr="00936A0B">
        <w:tc>
          <w:tcPr>
            <w:tcW w:w="3936" w:type="dxa"/>
            <w:shd w:val="clear" w:color="auto" w:fill="auto"/>
          </w:tcPr>
          <w:p w:rsidR="00DC79CA" w:rsidRPr="00DC79CA" w:rsidRDefault="00DC79CA" w:rsidP="00DC79CA">
            <w:pPr>
              <w:rPr>
                <w:rFonts w:ascii="Garamond" w:eastAsia="Calibri" w:hAnsi="Garamond" w:cs="Times New Roman"/>
                <w:b/>
                <w:szCs w:val="20"/>
              </w:rPr>
            </w:pPr>
          </w:p>
        </w:tc>
        <w:tc>
          <w:tcPr>
            <w:tcW w:w="9850" w:type="dxa"/>
          </w:tcPr>
          <w:p w:rsidR="00DC79CA" w:rsidRPr="00DC79CA" w:rsidRDefault="00DC79CA" w:rsidP="00DC79CA">
            <w:pPr>
              <w:spacing w:line="300" w:lineRule="atLeast"/>
              <w:rPr>
                <w:rFonts w:ascii="Garamond" w:eastAsia="Calibri" w:hAnsi="Garamond" w:cs="Times New Roman"/>
                <w:szCs w:val="20"/>
              </w:rPr>
            </w:pPr>
          </w:p>
        </w:tc>
      </w:tr>
    </w:tbl>
    <w:p w:rsidR="00DC79CA" w:rsidRDefault="00DC79CA" w:rsidP="00DC79CA">
      <w:pPr>
        <w:pStyle w:val="Brdtext-RJH"/>
        <w:ind w:left="-851"/>
        <w:rPr>
          <w:lang w:val="sv-SE"/>
        </w:rPr>
      </w:pPr>
    </w:p>
    <w:p w:rsidR="0024266E" w:rsidRDefault="0024266E" w:rsidP="009F5473">
      <w:pPr>
        <w:pStyle w:val="Brdtext-RJH"/>
        <w:rPr>
          <w:lang w:val="sv-SE"/>
        </w:rPr>
      </w:pPr>
    </w:p>
    <w:p w:rsidR="00AC41A4" w:rsidRPr="0024266E" w:rsidRDefault="00DC79CA" w:rsidP="0024266E">
      <w:pPr>
        <w:rPr>
          <w:rFonts w:ascii="Georgia" w:hAnsi="Georgia"/>
          <w:szCs w:val="20"/>
        </w:rPr>
      </w:pPr>
      <w:r w:rsidRPr="00DC79CA">
        <w:rPr>
          <w:rFonts w:ascii="Garamond" w:eastAsia="Calibri" w:hAnsi="Garamond" w:cs="Times New Roman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D62154" wp14:editId="52C93ED3">
                <wp:simplePos x="0" y="0"/>
                <wp:positionH relativeFrom="margin">
                  <wp:posOffset>-635</wp:posOffset>
                </wp:positionH>
                <wp:positionV relativeFrom="page">
                  <wp:posOffset>2864485</wp:posOffset>
                </wp:positionV>
                <wp:extent cx="2856865" cy="3041015"/>
                <wp:effectExtent l="635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color w:val="C0504D"/>
                                <w:sz w:val="48"/>
                                <w:szCs w:val="48"/>
                              </w:rPr>
                            </w:pPr>
                            <w:r w:rsidRPr="00DC79CA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</w:t>
                            </w:r>
                            <w:r w:rsidRPr="00DC79CA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Följande nationella satsningar avslutades 2014-12-31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  <w:t>- Bättre liv för sjuka äldre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  <w:t>- Stärkta regionala strukturer för kunskapsutveckling (EBP)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  <w:t>- Kunskap till praktik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  <w:t>- e- hälsa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C79CA">
                              <w:rPr>
                                <w:rFonts w:ascii="Cambria" w:eastAsia="Times New Roman" w:hAnsi="Cambria" w:cs="Times New Roman"/>
                                <w:color w:val="E36C0A"/>
                                <w:sz w:val="28"/>
                                <w:szCs w:val="28"/>
                              </w:rPr>
                              <w:t>Dock fortsätter arbetet på olika sätt och ingår i aktiviteter beskrivna i balanslistan ovan</w:t>
                            </w:r>
                          </w:p>
                          <w:p w:rsidR="00DC79CA" w:rsidRPr="00DC79CA" w:rsidRDefault="00DC79CA" w:rsidP="00DC79CA">
                            <w:pPr>
                              <w:jc w:val="center"/>
                              <w:rPr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</w:pPr>
                            <w:r w:rsidRPr="00DC79CA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 w:rsidRPr="00DC79CA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DC79CA" w:rsidRDefault="00DC79CA" w:rsidP="00DC79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21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225.55pt;width:224.95pt;height:239.45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rd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GUxLNkFmNUge0yIGEQx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" o:allowincell="f" filled="f" stroked="f">
                <v:textbox style="mso-fit-shape-to-text:t">
                  <w:txbxContent>
                    <w:p w:rsidR="00DC79CA" w:rsidRPr="00DC79CA" w:rsidRDefault="00DC79CA" w:rsidP="00DC79CA">
                      <w:pPr>
                        <w:jc w:val="center"/>
                        <w:rPr>
                          <w:color w:val="C0504D"/>
                          <w:sz w:val="48"/>
                          <w:szCs w:val="48"/>
                        </w:rPr>
                      </w:pPr>
                      <w:r w:rsidRPr="00DC79CA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</w:t>
                      </w:r>
                      <w:r w:rsidRPr="00DC79CA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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b/>
                          <w:color w:val="E36C0A"/>
                          <w:sz w:val="28"/>
                          <w:szCs w:val="28"/>
                        </w:rPr>
                        <w:t>Följande nationella satsningar avslutades 2014-12-31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  <w:t>- Bättre liv för sjuka äldre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  <w:t>- Stärkta regionala strukturer för kunskapsutveckling (EBP)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  <w:t>- Kunskap till praktik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  <w:t>- e- hälsa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</w:p>
                    <w:p w:rsidR="00DC79CA" w:rsidRPr="00DC79CA" w:rsidRDefault="00DC79CA" w:rsidP="00DC79CA">
                      <w:pPr>
                        <w:jc w:val="center"/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</w:pPr>
                      <w:r w:rsidRPr="00DC79CA">
                        <w:rPr>
                          <w:rFonts w:ascii="Cambria" w:eastAsia="Times New Roman" w:hAnsi="Cambria" w:cs="Times New Roman"/>
                          <w:color w:val="E36C0A"/>
                          <w:sz w:val="28"/>
                          <w:szCs w:val="28"/>
                        </w:rPr>
                        <w:t>Dock fortsätter arbetet på olika sätt och ingår i aktiviteter beskrivna i balanslistan ovan</w:t>
                      </w:r>
                    </w:p>
                    <w:p w:rsidR="00DC79CA" w:rsidRPr="00DC79CA" w:rsidRDefault="00DC79CA" w:rsidP="00DC79CA">
                      <w:pPr>
                        <w:jc w:val="center"/>
                        <w:rPr>
                          <w:color w:val="C0504D"/>
                          <w:spacing w:val="24"/>
                          <w:sz w:val="48"/>
                          <w:szCs w:val="48"/>
                        </w:rPr>
                      </w:pPr>
                      <w:r w:rsidRPr="00DC79CA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</w:t>
                      </w:r>
                      <w:r w:rsidRPr="00DC79CA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DC79CA" w:rsidRDefault="00DC79CA" w:rsidP="00DC79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C41A4" w:rsidRPr="0024266E" w:rsidSect="00DC79CA">
      <w:headerReference w:type="default" r:id="rId8"/>
      <w:headerReference w:type="first" r:id="rId9"/>
      <w:type w:val="continuous"/>
      <w:pgSz w:w="16838" w:h="11906" w:orient="landscape"/>
      <w:pgMar w:top="1871" w:right="1985" w:bottom="187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CA" w:rsidRDefault="00DC79CA" w:rsidP="00E47EFD">
      <w:r>
        <w:separator/>
      </w:r>
    </w:p>
  </w:endnote>
  <w:endnote w:type="continuationSeparator" w:id="0">
    <w:p w:rsidR="00DC79CA" w:rsidRDefault="00DC79CA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CA" w:rsidRDefault="00DC79CA" w:rsidP="00E47EFD">
      <w:r>
        <w:separator/>
      </w:r>
    </w:p>
  </w:footnote>
  <w:footnote w:type="continuationSeparator" w:id="0">
    <w:p w:rsidR="00DC79CA" w:rsidRDefault="00DC79CA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DC79CA">
      <w:rPr>
        <w:noProof/>
        <w:color w:val="4D4D4D"/>
      </w:rPr>
      <w:t>3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DC79CA">
      <w:fldChar w:fldCharType="begin"/>
    </w:r>
    <w:r w:rsidR="00DC79CA">
      <w:instrText xml:space="preserve"> NUMPAGES  \* Arabic  \* MERGEFORMAT </w:instrText>
    </w:r>
    <w:r w:rsidR="00DC79CA">
      <w:fldChar w:fldCharType="separate"/>
    </w:r>
    <w:r w:rsidR="00DC79CA" w:rsidRPr="00DC79CA">
      <w:rPr>
        <w:noProof/>
        <w:color w:val="4D4D4D"/>
      </w:rPr>
      <w:t>3</w:t>
    </w:r>
    <w:r w:rsidR="00DC79CA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C79CA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34B5"/>
  <w15:chartTrackingRefBased/>
  <w15:docId w15:val="{43117CFA-A5BB-4437-A574-FF41F01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DC7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uiPriority w:val="59"/>
    <w:rsid w:val="00DC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C7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55E29D-536F-4C4E-AC41-91EB9BF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Lejonklou</dc:creator>
  <cp:keywords/>
  <dc:description/>
  <cp:lastModifiedBy>Kerstin Lejonklou</cp:lastModifiedBy>
  <cp:revision>1</cp:revision>
  <cp:lastPrinted>2015-10-27T14:22:00Z</cp:lastPrinted>
  <dcterms:created xsi:type="dcterms:W3CDTF">2018-06-01T09:01:00Z</dcterms:created>
  <dcterms:modified xsi:type="dcterms:W3CDTF">2018-06-01T09:07:00Z</dcterms:modified>
</cp:coreProperties>
</file>