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5ABE" w14:textId="105C8390" w:rsidR="008904A6" w:rsidRDefault="003108D6" w:rsidP="00545639">
      <w:pPr>
        <w:pStyle w:val="Rubrik1"/>
      </w:pPr>
      <w:bookmarkStart w:id="0" w:name="_GoBack"/>
      <w:bookmarkEnd w:id="0"/>
      <w:r>
        <w:t>Avtal</w:t>
      </w:r>
      <w:r w:rsidR="00166363">
        <w:t xml:space="preserve"> om s</w:t>
      </w:r>
      <w:r w:rsidR="008904A6" w:rsidRPr="008904A6">
        <w:t xml:space="preserve">amverkan vid </w:t>
      </w:r>
      <w:r w:rsidR="00996E6D">
        <w:t>in- och utskrivning från slutenvården</w:t>
      </w:r>
    </w:p>
    <w:p w14:paraId="3FB71218" w14:textId="5CAAD74E" w:rsidR="00827B4E" w:rsidRPr="00827B4E" w:rsidRDefault="00DB2EB1" w:rsidP="00206B4D">
      <w:pPr>
        <w:pStyle w:val="Ingress-RJH"/>
      </w:pPr>
      <w:r>
        <w:t xml:space="preserve">Avtalets parter är Region Jämtland Härjedalen och kommunerna i Jämtlands län. </w:t>
      </w:r>
      <w:r w:rsidR="00827B4E">
        <w:t>Till detta avtal hör Riktlinjer för samarbete vid in- och utskrivning av patienter i slutenvården.</w:t>
      </w:r>
    </w:p>
    <w:p w14:paraId="5C74F966" w14:textId="77777777" w:rsidR="008E6FD7" w:rsidRPr="008E6FD7" w:rsidRDefault="008E6FD7" w:rsidP="008E6FD7">
      <w:pPr>
        <w:pStyle w:val="Rubrik2"/>
      </w:pPr>
      <w:r>
        <w:t>Inledning</w:t>
      </w:r>
    </w:p>
    <w:p w14:paraId="0E9097BF" w14:textId="44BE0CBE" w:rsidR="008904A6" w:rsidRPr="00A579CA" w:rsidRDefault="008904A6" w:rsidP="00A579CA">
      <w:pPr>
        <w:pStyle w:val="Brdtext-RJH"/>
      </w:pPr>
      <w:r w:rsidRPr="00A579CA">
        <w:t>Lagen om samverkan vid utskrivning</w:t>
      </w:r>
      <w:r w:rsidR="005736E0">
        <w:rPr>
          <w:lang w:val="sv-SE"/>
        </w:rPr>
        <w:t xml:space="preserve"> </w:t>
      </w:r>
      <w:r w:rsidRPr="00A579CA">
        <w:t>från slutenvård</w:t>
      </w:r>
      <w:r w:rsidR="00545639" w:rsidRPr="005736E0">
        <w:rPr>
          <w:rStyle w:val="Fotnotsreferens"/>
        </w:rPr>
        <w:footnoteReference w:id="1"/>
      </w:r>
      <w:r w:rsidRPr="005736E0">
        <w:rPr>
          <w:rStyle w:val="Fotnotsreferens"/>
        </w:rPr>
        <w:t xml:space="preserve"> </w:t>
      </w:r>
      <w:r w:rsidR="00545639" w:rsidRPr="00A579CA">
        <w:t>träd</w:t>
      </w:r>
      <w:r w:rsidR="00150894">
        <w:rPr>
          <w:lang w:val="sv-SE"/>
        </w:rPr>
        <w:t>d</w:t>
      </w:r>
      <w:r w:rsidR="00545639" w:rsidRPr="00A579CA">
        <w:t xml:space="preserve">e i kraft 2018-01-01, och </w:t>
      </w:r>
      <w:r w:rsidR="005F030A" w:rsidRPr="00A579CA">
        <w:t>ers</w:t>
      </w:r>
      <w:r w:rsidR="00150894">
        <w:rPr>
          <w:lang w:val="sv-SE"/>
        </w:rPr>
        <w:t>a</w:t>
      </w:r>
      <w:r w:rsidR="005F030A" w:rsidRPr="00A579CA">
        <w:t xml:space="preserve">tte </w:t>
      </w:r>
      <w:r w:rsidR="00FF3FE3" w:rsidRPr="00A579CA">
        <w:t xml:space="preserve">då </w:t>
      </w:r>
      <w:r w:rsidR="00545639" w:rsidRPr="00A579CA">
        <w:t xml:space="preserve">Lagen om kommunernas </w:t>
      </w:r>
      <w:r w:rsidR="005F030A" w:rsidRPr="00A579CA">
        <w:t>betalningsansvar</w:t>
      </w:r>
      <w:r w:rsidR="00545639" w:rsidRPr="00A579CA">
        <w:t xml:space="preserve"> för viss hälso- och sjukvård</w:t>
      </w:r>
      <w:r w:rsidR="00545639" w:rsidRPr="005736E0">
        <w:rPr>
          <w:rStyle w:val="Fotnotsreferens"/>
        </w:rPr>
        <w:footnoteReference w:id="2"/>
      </w:r>
      <w:r w:rsidR="00545639" w:rsidRPr="00A579CA">
        <w:t xml:space="preserve">. </w:t>
      </w:r>
      <w:r w:rsidR="002042B4">
        <w:rPr>
          <w:lang w:val="sv-SE"/>
        </w:rPr>
        <w:t>L</w:t>
      </w:r>
      <w:r w:rsidR="00545639" w:rsidRPr="00A579CA">
        <w:t>agen</w:t>
      </w:r>
      <w:r w:rsidR="002042B4">
        <w:rPr>
          <w:lang w:val="sv-SE"/>
        </w:rPr>
        <w:t>s syfte</w:t>
      </w:r>
      <w:r w:rsidR="00545639" w:rsidRPr="00A579CA">
        <w:t xml:space="preserve"> är att</w:t>
      </w:r>
      <w:r w:rsidRPr="00A579CA">
        <w:t xml:space="preserve"> främja en god vård och socialtjänst</w:t>
      </w:r>
      <w:r w:rsidR="00E265AF">
        <w:rPr>
          <w:lang w:val="sv-SE"/>
        </w:rPr>
        <w:t xml:space="preserve"> av god kvalitet</w:t>
      </w:r>
      <w:r w:rsidRPr="00A579CA">
        <w:t xml:space="preserve"> för </w:t>
      </w:r>
      <w:r w:rsidR="00E265AF">
        <w:rPr>
          <w:lang w:val="sv-SE"/>
        </w:rPr>
        <w:t>enskilda</w:t>
      </w:r>
      <w:r w:rsidRPr="00A579CA">
        <w:t xml:space="preserve"> som efter utskrivning från sluten vård behöver insatser från socialtjänsten, den kommunal</w:t>
      </w:r>
      <w:r w:rsidR="009A51EC" w:rsidRPr="00A579CA">
        <w:t>a</w:t>
      </w:r>
      <w:r w:rsidRPr="00A579CA">
        <w:t xml:space="preserve"> hälso- och sjukvår</w:t>
      </w:r>
      <w:r w:rsidR="009A51EC" w:rsidRPr="00A579CA">
        <w:t>den eller den region</w:t>
      </w:r>
      <w:r w:rsidRPr="00A579CA">
        <w:t xml:space="preserve">finansierade sjukvården. </w:t>
      </w:r>
      <w:r w:rsidR="009A51EC" w:rsidRPr="00A579CA">
        <w:t>L</w:t>
      </w:r>
      <w:r w:rsidRPr="00A579CA">
        <w:t>agen</w:t>
      </w:r>
      <w:r w:rsidR="009A51EC" w:rsidRPr="00A579CA">
        <w:t xml:space="preserve"> ska</w:t>
      </w:r>
      <w:r w:rsidRPr="00A579CA">
        <w:t xml:space="preserve"> särskilt främja att en </w:t>
      </w:r>
      <w:r w:rsidR="009A51EC" w:rsidRPr="00A579CA">
        <w:t>person</w:t>
      </w:r>
      <w:r w:rsidRPr="00A579CA">
        <w:t xml:space="preserve"> med behov av insatser skrivs ut från den slutna vården så snart som möjligt efter att den behandlande läkaren bedömt att </w:t>
      </w:r>
      <w:r w:rsidR="009A51EC" w:rsidRPr="00A579CA">
        <w:t>personen</w:t>
      </w:r>
      <w:r w:rsidRPr="00A579CA">
        <w:t xml:space="preserve"> är utskrivningsklar.</w:t>
      </w:r>
    </w:p>
    <w:p w14:paraId="5C1A3E1F" w14:textId="77777777" w:rsidR="008904A6" w:rsidRDefault="008904A6" w:rsidP="00A579CA">
      <w:pPr>
        <w:pStyle w:val="Brdtext-RJH"/>
        <w:rPr>
          <w:color w:val="000000" w:themeColor="text1"/>
          <w:sz w:val="24"/>
          <w:szCs w:val="24"/>
        </w:rPr>
      </w:pPr>
    </w:p>
    <w:p w14:paraId="75CE0CE4" w14:textId="35E62912" w:rsidR="00E80DD3" w:rsidRDefault="001A62BB" w:rsidP="00A579CA">
      <w:pPr>
        <w:pStyle w:val="Brdtext-RJH"/>
        <w:rPr>
          <w:lang w:val="sv-SE"/>
        </w:rPr>
      </w:pPr>
      <w:r>
        <w:rPr>
          <w:lang w:val="sv-SE"/>
        </w:rPr>
        <w:t>O</w:t>
      </w:r>
      <w:r w:rsidR="00F3451D">
        <w:rPr>
          <w:lang w:val="sv-SE"/>
        </w:rPr>
        <w:t xml:space="preserve">nödig sjukhusvård </w:t>
      </w:r>
      <w:r>
        <w:rPr>
          <w:lang w:val="sv-SE"/>
        </w:rPr>
        <w:t xml:space="preserve">kan undvikas genom att </w:t>
      </w:r>
      <w:r w:rsidR="00071D7F">
        <w:rPr>
          <w:lang w:val="sv-SE"/>
        </w:rPr>
        <w:t xml:space="preserve">regionens primärvård och öppna specialiserade vård, </w:t>
      </w:r>
      <w:r w:rsidR="00F3451D">
        <w:rPr>
          <w:lang w:val="sv-SE"/>
        </w:rPr>
        <w:t>kommun</w:t>
      </w:r>
      <w:r>
        <w:rPr>
          <w:lang w:val="sv-SE"/>
        </w:rPr>
        <w:t xml:space="preserve">ens </w:t>
      </w:r>
      <w:r w:rsidR="00071D7F">
        <w:rPr>
          <w:lang w:val="sv-SE"/>
        </w:rPr>
        <w:t xml:space="preserve">socialtjänst och </w:t>
      </w:r>
      <w:r w:rsidR="00E265AF">
        <w:rPr>
          <w:lang w:val="sv-SE"/>
        </w:rPr>
        <w:t>den kommunala hälso- och sjukvården</w:t>
      </w:r>
      <w:r w:rsidR="00F3451D">
        <w:rPr>
          <w:lang w:val="sv-SE"/>
        </w:rPr>
        <w:t xml:space="preserve"> arbetar </w:t>
      </w:r>
      <w:r w:rsidR="00963260">
        <w:rPr>
          <w:lang w:val="sv-SE"/>
        </w:rPr>
        <w:t xml:space="preserve">förebyggande </w:t>
      </w:r>
      <w:r w:rsidR="00E265AF">
        <w:rPr>
          <w:lang w:val="sv-SE"/>
        </w:rPr>
        <w:t xml:space="preserve">och </w:t>
      </w:r>
      <w:r w:rsidR="00963260">
        <w:rPr>
          <w:lang w:val="sv-SE"/>
        </w:rPr>
        <w:t xml:space="preserve">på ett </w:t>
      </w:r>
      <w:r w:rsidR="00F3451D">
        <w:rPr>
          <w:lang w:val="sv-SE"/>
        </w:rPr>
        <w:t>systematiskt</w:t>
      </w:r>
      <w:r w:rsidR="00963260">
        <w:rPr>
          <w:lang w:val="sv-SE"/>
        </w:rPr>
        <w:t xml:space="preserve"> sätt</w:t>
      </w:r>
      <w:r w:rsidR="007D0640">
        <w:rPr>
          <w:lang w:val="sv-SE"/>
        </w:rPr>
        <w:t xml:space="preserve">, </w:t>
      </w:r>
      <w:r w:rsidR="008E58BA">
        <w:rPr>
          <w:lang w:val="sv-SE"/>
        </w:rPr>
        <w:t>till exempel</w:t>
      </w:r>
      <w:r w:rsidR="007D0640">
        <w:rPr>
          <w:lang w:val="sv-SE"/>
        </w:rPr>
        <w:t xml:space="preserve"> genom </w:t>
      </w:r>
      <w:r w:rsidR="008E58BA">
        <w:rPr>
          <w:lang w:val="sv-SE"/>
        </w:rPr>
        <w:t xml:space="preserve">modellen </w:t>
      </w:r>
      <w:r w:rsidR="007D0640">
        <w:rPr>
          <w:lang w:val="sv-SE"/>
        </w:rPr>
        <w:t xml:space="preserve">Trygg och säker </w:t>
      </w:r>
      <w:r w:rsidR="007D0F2F">
        <w:rPr>
          <w:lang w:val="sv-SE"/>
        </w:rPr>
        <w:t>hemma</w:t>
      </w:r>
      <w:r w:rsidR="00963260">
        <w:rPr>
          <w:lang w:val="sv-SE"/>
        </w:rPr>
        <w:t>.</w:t>
      </w:r>
      <w:r w:rsidR="00F3451D">
        <w:rPr>
          <w:lang w:val="sv-SE"/>
        </w:rPr>
        <w:t xml:space="preserve"> En god utskrivningskvalité minskar </w:t>
      </w:r>
      <w:r>
        <w:rPr>
          <w:lang w:val="sv-SE"/>
        </w:rPr>
        <w:t xml:space="preserve">också </w:t>
      </w:r>
      <w:r w:rsidR="00F3451D">
        <w:rPr>
          <w:lang w:val="sv-SE"/>
        </w:rPr>
        <w:t>undvikbara återinskrivningar i slutenvård.</w:t>
      </w:r>
      <w:r w:rsidR="005A6A17">
        <w:rPr>
          <w:lang w:val="sv-SE"/>
        </w:rPr>
        <w:t xml:space="preserve"> </w:t>
      </w:r>
    </w:p>
    <w:p w14:paraId="7CD17AAA" w14:textId="77777777" w:rsidR="00E80DD3" w:rsidRPr="00E80DD3" w:rsidRDefault="00E80DD3" w:rsidP="00A579CA">
      <w:pPr>
        <w:pStyle w:val="Brdtext-RJH"/>
        <w:rPr>
          <w:lang w:val="sv-SE"/>
        </w:rPr>
      </w:pPr>
    </w:p>
    <w:p w14:paraId="0B5BC512" w14:textId="35E45E3D" w:rsidR="008B206A" w:rsidRDefault="00A579CA" w:rsidP="008B206A">
      <w:pPr>
        <w:pStyle w:val="Brdtext-RJH"/>
        <w:rPr>
          <w:lang w:val="sv-SE"/>
        </w:rPr>
      </w:pPr>
      <w:r w:rsidRPr="00E80DD3">
        <w:rPr>
          <w:lang w:val="sv-SE"/>
        </w:rPr>
        <w:t>Parterna har ett gemensamt ansvar för trygga och säkra övergångar i vården</w:t>
      </w:r>
      <w:r w:rsidR="008E6FD7" w:rsidRPr="00E80DD3">
        <w:rPr>
          <w:lang w:val="sv-SE"/>
        </w:rPr>
        <w:t>. S</w:t>
      </w:r>
      <w:r w:rsidRPr="00E80DD3">
        <w:rPr>
          <w:lang w:val="sv-SE"/>
        </w:rPr>
        <w:t>am</w:t>
      </w:r>
      <w:r w:rsidR="00E41DDC">
        <w:rPr>
          <w:lang w:val="sv-SE"/>
        </w:rPr>
        <w:t>arbete</w:t>
      </w:r>
      <w:r w:rsidR="00F7150E">
        <w:rPr>
          <w:lang w:val="sv-SE"/>
        </w:rPr>
        <w:t xml:space="preserve"> g</w:t>
      </w:r>
      <w:r w:rsidRPr="00E80DD3">
        <w:rPr>
          <w:lang w:val="sv-SE"/>
        </w:rPr>
        <w:t>enom hela vårdkedjan säkra</w:t>
      </w:r>
      <w:r w:rsidR="008E6FD7" w:rsidRPr="00E80DD3">
        <w:rPr>
          <w:lang w:val="sv-SE"/>
        </w:rPr>
        <w:t>r</w:t>
      </w:r>
      <w:r w:rsidRPr="00E80DD3">
        <w:rPr>
          <w:lang w:val="sv-SE"/>
        </w:rPr>
        <w:t xml:space="preserve"> att personen får </w:t>
      </w:r>
      <w:r w:rsidR="00E265AF">
        <w:rPr>
          <w:lang w:val="sv-SE"/>
        </w:rPr>
        <w:t>socialtjänst och hälso- och sjuk</w:t>
      </w:r>
      <w:r w:rsidRPr="00E80DD3">
        <w:rPr>
          <w:lang w:val="sv-SE"/>
        </w:rPr>
        <w:t>vård på rätt nivå</w:t>
      </w:r>
      <w:r w:rsidR="00E82FE2" w:rsidRPr="00E80DD3">
        <w:rPr>
          <w:lang w:val="sv-SE"/>
        </w:rPr>
        <w:t xml:space="preserve"> och</w:t>
      </w:r>
      <w:r w:rsidR="008E6FD7" w:rsidRPr="00E80DD3">
        <w:rPr>
          <w:lang w:val="sv-SE"/>
        </w:rPr>
        <w:t xml:space="preserve"> </w:t>
      </w:r>
      <w:r w:rsidRPr="00E80DD3">
        <w:rPr>
          <w:lang w:val="sv-SE"/>
        </w:rPr>
        <w:t xml:space="preserve">utifrån sitt </w:t>
      </w:r>
      <w:r w:rsidR="008E6FD7" w:rsidRPr="00E80DD3">
        <w:rPr>
          <w:lang w:val="sv-SE"/>
        </w:rPr>
        <w:t xml:space="preserve">individuella </w:t>
      </w:r>
      <w:r w:rsidRPr="00E80DD3">
        <w:rPr>
          <w:lang w:val="sv-SE"/>
        </w:rPr>
        <w:t>behov</w:t>
      </w:r>
      <w:r w:rsidR="00E82FE2" w:rsidRPr="00E80DD3">
        <w:rPr>
          <w:lang w:val="sv-SE"/>
        </w:rPr>
        <w:t>.</w:t>
      </w:r>
      <w:r w:rsidRPr="00E80DD3">
        <w:rPr>
          <w:lang w:val="sv-SE"/>
        </w:rPr>
        <w:t xml:space="preserve"> </w:t>
      </w:r>
      <w:r w:rsidR="008B206A">
        <w:rPr>
          <w:lang w:val="sv-SE"/>
        </w:rPr>
        <w:t>Parternas a</w:t>
      </w:r>
      <w:r w:rsidR="008B206A">
        <w:t>nsvar</w:t>
      </w:r>
      <w:r w:rsidR="008B206A">
        <w:rPr>
          <w:lang w:val="sv-SE"/>
        </w:rPr>
        <w:t xml:space="preserve"> för olika </w:t>
      </w:r>
      <w:r w:rsidR="00166E8B">
        <w:rPr>
          <w:lang w:val="sv-SE"/>
        </w:rPr>
        <w:t>personer</w:t>
      </w:r>
      <w:r w:rsidR="008B206A">
        <w:rPr>
          <w:lang w:val="sv-SE"/>
        </w:rPr>
        <w:t xml:space="preserve"> beskrivs i </w:t>
      </w:r>
      <w:r w:rsidR="008B206A">
        <w:t>huvudavtalet.</w:t>
      </w:r>
      <w:r w:rsidR="008B206A">
        <w:rPr>
          <w:lang w:val="sv-SE"/>
        </w:rPr>
        <w:t xml:space="preserve"> </w:t>
      </w:r>
    </w:p>
    <w:p w14:paraId="5AA3FA03" w14:textId="77777777" w:rsidR="008B206A" w:rsidRDefault="008B206A" w:rsidP="008B206A">
      <w:pPr>
        <w:pStyle w:val="Brdtext-RJH"/>
        <w:rPr>
          <w:lang w:val="sv-SE"/>
        </w:rPr>
      </w:pPr>
    </w:p>
    <w:p w14:paraId="5FBB20F3" w14:textId="7EDFE432" w:rsidR="008B206A" w:rsidRDefault="00277292" w:rsidP="008B206A">
      <w:pPr>
        <w:pStyle w:val="Brdtext-RJH"/>
        <w:rPr>
          <w:lang w:val="sv-SE"/>
        </w:rPr>
      </w:pPr>
      <w:r>
        <w:rPr>
          <w:lang w:val="sv-SE"/>
        </w:rPr>
        <w:t>Parterna delar målsättningen</w:t>
      </w:r>
      <w:r w:rsidR="008B206A">
        <w:rPr>
          <w:lang w:val="sv-SE"/>
        </w:rPr>
        <w:t xml:space="preserve"> att alla </w:t>
      </w:r>
      <w:r w:rsidR="00166E8B">
        <w:rPr>
          <w:lang w:val="sv-SE"/>
        </w:rPr>
        <w:t>personer</w:t>
      </w:r>
      <w:r w:rsidR="008B206A">
        <w:rPr>
          <w:lang w:val="sv-SE"/>
        </w:rPr>
        <w:t xml:space="preserve"> ska få möjlighet att komma hem från sjukhuset samma dag som de är hemgångsklara, och att inga ekonomiska ersättningar mellan ko</w:t>
      </w:r>
      <w:r w:rsidR="00FA2B7E">
        <w:rPr>
          <w:lang w:val="sv-SE"/>
        </w:rPr>
        <w:t>mmun och region ska behöva ske, och att detta ska ske med sådan kvalitet att återinskrivningar i slutenvård undviks.</w:t>
      </w:r>
    </w:p>
    <w:p w14:paraId="28EBFEA5" w14:textId="661DE992" w:rsidR="00600053" w:rsidRPr="008B206A" w:rsidRDefault="00E80DD3" w:rsidP="008B206A">
      <w:pPr>
        <w:pStyle w:val="Rubrik2"/>
      </w:pPr>
      <w:r w:rsidRPr="008B206A">
        <w:t xml:space="preserve">Samverkan </w:t>
      </w:r>
    </w:p>
    <w:p w14:paraId="0C16534D" w14:textId="680F8C55" w:rsidR="00A73A95" w:rsidRPr="00A73A95" w:rsidRDefault="00A73A95" w:rsidP="00E80DD3">
      <w:pPr>
        <w:pStyle w:val="Brdtext-RJH"/>
        <w:rPr>
          <w:b/>
          <w:lang w:val="sv-SE"/>
        </w:rPr>
      </w:pPr>
      <w:r w:rsidRPr="00A73A95">
        <w:rPr>
          <w:b/>
          <w:lang w:val="sv-SE"/>
        </w:rPr>
        <w:t>Inskrivningsmeddelande</w:t>
      </w:r>
    </w:p>
    <w:p w14:paraId="1093FA16" w14:textId="6E1994D7" w:rsidR="0060730B" w:rsidRDefault="00E80DD3" w:rsidP="00755A5B">
      <w:pPr>
        <w:pStyle w:val="Brdtext-RJH"/>
        <w:rPr>
          <w:lang w:val="sv-SE"/>
        </w:rPr>
      </w:pPr>
      <w:r>
        <w:rPr>
          <w:lang w:val="sv-SE"/>
        </w:rPr>
        <w:t xml:space="preserve">Regionen </w:t>
      </w:r>
      <w:r w:rsidRPr="00755A5B">
        <w:rPr>
          <w:lang w:val="sv-SE"/>
        </w:rPr>
        <w:t>ansvarar för att skicka inskrivningsmeddelande till</w:t>
      </w:r>
      <w:r>
        <w:rPr>
          <w:lang w:val="sv-SE"/>
        </w:rPr>
        <w:t xml:space="preserve"> </w:t>
      </w:r>
      <w:r w:rsidR="00C27B7A" w:rsidRPr="00A579CA">
        <w:t>berörda enheter</w:t>
      </w:r>
      <w:r>
        <w:rPr>
          <w:lang w:val="sv-SE"/>
        </w:rPr>
        <w:t xml:space="preserve"> </w:t>
      </w:r>
      <w:r w:rsidR="00B903A6">
        <w:rPr>
          <w:lang w:val="sv-SE"/>
        </w:rPr>
        <w:t xml:space="preserve">i enlighet med 2 kap. §§ </w:t>
      </w:r>
      <w:r w:rsidR="005314D9">
        <w:rPr>
          <w:lang w:val="sv-SE"/>
        </w:rPr>
        <w:t>1–4</w:t>
      </w:r>
      <w:r w:rsidR="00B903A6">
        <w:rPr>
          <w:lang w:val="sv-SE"/>
        </w:rPr>
        <w:t xml:space="preserve"> Inskrivningsmeddelande och planering i lagen om samverkan vid utskrivning från slutenvård</w:t>
      </w:r>
      <w:r w:rsidR="00327A1C">
        <w:rPr>
          <w:lang w:val="sv-SE"/>
        </w:rPr>
        <w:t>.</w:t>
      </w:r>
      <w:r w:rsidR="00A73A95">
        <w:rPr>
          <w:lang w:val="sv-SE"/>
        </w:rPr>
        <w:t xml:space="preserve"> </w:t>
      </w:r>
      <w:r w:rsidR="00755A5B">
        <w:rPr>
          <w:lang w:val="sv-SE"/>
        </w:rPr>
        <w:br/>
      </w:r>
      <w:r w:rsidR="00755A5B">
        <w:rPr>
          <w:lang w:val="sv-SE"/>
        </w:rPr>
        <w:br/>
      </w:r>
      <w:r w:rsidR="00C22B5A" w:rsidRPr="00FA2B7E">
        <w:rPr>
          <w:lang w:val="sv-SE"/>
        </w:rPr>
        <w:lastRenderedPageBreak/>
        <w:t>V</w:t>
      </w:r>
      <w:r w:rsidR="00012DA5" w:rsidRPr="00FA2B7E">
        <w:rPr>
          <w:lang w:val="sv-SE"/>
        </w:rPr>
        <w:t>ardagar</w:t>
      </w:r>
      <w:r w:rsidR="00C22B5A" w:rsidRPr="00FA2B7E">
        <w:rPr>
          <w:lang w:val="sv-SE"/>
        </w:rPr>
        <w:t xml:space="preserve"> dagtid </w:t>
      </w:r>
      <w:r w:rsidR="00F25E5D" w:rsidRPr="00FA2B7E">
        <w:rPr>
          <w:lang w:val="sv-SE"/>
        </w:rPr>
        <w:t xml:space="preserve">08:00 – 17:00 </w:t>
      </w:r>
      <w:r w:rsidR="00C22B5A" w:rsidRPr="00FA2B7E">
        <w:rPr>
          <w:lang w:val="sv-SE"/>
        </w:rPr>
        <w:t xml:space="preserve">ska regionens öppna vård och berörda enheter inom </w:t>
      </w:r>
      <w:r w:rsidR="00F914D6">
        <w:rPr>
          <w:lang w:val="sv-SE"/>
        </w:rPr>
        <w:t>k</w:t>
      </w:r>
      <w:r w:rsidR="00C22B5A" w:rsidRPr="00FA2B7E">
        <w:rPr>
          <w:lang w:val="sv-SE"/>
        </w:rPr>
        <w:t>ommunen ta emot inskrivningsmeddelande och starta planeringsprocessen.</w:t>
      </w:r>
      <w:r w:rsidR="00012DA5" w:rsidRPr="00FA2B7E">
        <w:rPr>
          <w:lang w:val="sv-SE"/>
        </w:rPr>
        <w:t xml:space="preserve"> </w:t>
      </w:r>
    </w:p>
    <w:p w14:paraId="2B051135" w14:textId="77777777" w:rsidR="00755A5B" w:rsidRPr="0060730B" w:rsidRDefault="00755A5B" w:rsidP="00755A5B">
      <w:pPr>
        <w:pStyle w:val="Brdtext-RJH"/>
      </w:pPr>
    </w:p>
    <w:p w14:paraId="694107F7" w14:textId="2AAED7A7" w:rsidR="0006168A" w:rsidRDefault="00C22B5A" w:rsidP="00755A5B">
      <w:pPr>
        <w:pStyle w:val="Brdtext-RJH"/>
      </w:pPr>
      <w:r w:rsidRPr="00FA2B7E">
        <w:rPr>
          <w:lang w:val="sv-SE"/>
        </w:rPr>
        <w:t>När</w:t>
      </w:r>
      <w:r w:rsidR="00012DA5" w:rsidRPr="00FA2B7E">
        <w:rPr>
          <w:lang w:val="sv-SE"/>
        </w:rPr>
        <w:t xml:space="preserve"> helger sträcker sig över mer än 2 dagar ska </w:t>
      </w:r>
      <w:r w:rsidRPr="00FA2B7E">
        <w:rPr>
          <w:lang w:val="sv-SE"/>
        </w:rPr>
        <w:t>inskrivningsmeddelade tas emot och planering påbörjas den 3:e dagen.</w:t>
      </w:r>
      <w:r w:rsidR="001B4BE3">
        <w:br/>
      </w:r>
    </w:p>
    <w:p w14:paraId="63AC3624" w14:textId="24602923" w:rsidR="00406388" w:rsidRPr="0060730B" w:rsidRDefault="00406388" w:rsidP="00E80DD3">
      <w:pPr>
        <w:pStyle w:val="Brdtext-RJH"/>
        <w:rPr>
          <w:b/>
          <w:lang w:val="sv-SE"/>
        </w:rPr>
      </w:pPr>
      <w:r w:rsidRPr="0060730B">
        <w:rPr>
          <w:b/>
          <w:lang w:val="sv-SE"/>
        </w:rPr>
        <w:t>Planering</w:t>
      </w:r>
    </w:p>
    <w:p w14:paraId="269FF502" w14:textId="3C03FD32" w:rsidR="0060730B" w:rsidRPr="00944F59" w:rsidRDefault="00944F59" w:rsidP="00755A5B">
      <w:pPr>
        <w:pStyle w:val="Brdtext-RJH"/>
        <w:rPr>
          <w:lang w:val="sv-SE"/>
        </w:rPr>
      </w:pPr>
      <w:r>
        <w:rPr>
          <w:lang w:val="sv-SE"/>
        </w:rPr>
        <w:t xml:space="preserve">När en berörd enhet inom socialtjänsten, den kommunalt finansierade hälso- och sjukvården eller den landstingsfinansierade öppna vården har fått ett inskrivningsmeddelande, ska enheten börja sin planering av nödvändiga insatser inför hemgång. </w:t>
      </w:r>
      <w:r w:rsidR="00755A5B" w:rsidRPr="00755A5B">
        <w:rPr>
          <w:i/>
          <w:lang w:val="sv-SE"/>
        </w:rPr>
        <w:br/>
      </w:r>
    </w:p>
    <w:p w14:paraId="7EDB7946" w14:textId="77D44D21" w:rsidR="00BF2724" w:rsidRPr="00AE3893" w:rsidRDefault="00AF4C74" w:rsidP="00755A5B">
      <w:pPr>
        <w:pStyle w:val="Brdtext-RJH"/>
        <w:rPr>
          <w:strike/>
        </w:rPr>
      </w:pPr>
      <w:r w:rsidRPr="00A579CA">
        <w:t>Regionens öppna vård ansvarar för att fast vårdkontakt utses.</w:t>
      </w:r>
      <w:r w:rsidR="00C7330A" w:rsidRPr="00C7330A">
        <w:t xml:space="preserve"> </w:t>
      </w:r>
    </w:p>
    <w:p w14:paraId="4D8C4EB0" w14:textId="77777777" w:rsidR="00406388" w:rsidRDefault="00406388" w:rsidP="00166E8B"/>
    <w:p w14:paraId="2C2D42E9" w14:textId="77777777" w:rsidR="0060730B" w:rsidRDefault="00406388" w:rsidP="00166E8B">
      <w:pPr>
        <w:rPr>
          <w:rFonts w:ascii="Georgia" w:hAnsi="Georgia"/>
        </w:rPr>
      </w:pPr>
      <w:r w:rsidRPr="0060730B">
        <w:rPr>
          <w:rFonts w:ascii="Georgia" w:hAnsi="Georgia"/>
          <w:b/>
          <w:szCs w:val="20"/>
        </w:rPr>
        <w:t>Meddelande om utskrivningsklar</w:t>
      </w:r>
    </w:p>
    <w:p w14:paraId="30CAC909" w14:textId="6C49F3A9" w:rsidR="00E915B7" w:rsidRDefault="0060730B" w:rsidP="00755A5B">
      <w:pPr>
        <w:pStyle w:val="Brdtext-RJH"/>
      </w:pPr>
      <w:r>
        <w:t>N</w:t>
      </w:r>
      <w:r w:rsidR="00166E8B" w:rsidRPr="0060730B">
        <w:t>är</w:t>
      </w:r>
      <w:r w:rsidR="00166E8B">
        <w:t xml:space="preserve"> d</w:t>
      </w:r>
      <w:r w:rsidR="00166E8B" w:rsidRPr="0060730B">
        <w:t xml:space="preserve">en behandlande läkaren har bedömt att personen inte längre behöver vård vid en enhet inom den slutna vården och </w:t>
      </w:r>
      <w:r w:rsidR="00F3358F" w:rsidRPr="0060730B">
        <w:t xml:space="preserve">meddelat berörda enheter att personen är utskrivningsklar </w:t>
      </w:r>
      <w:r w:rsidR="00166E8B" w:rsidRPr="0060730B">
        <w:t>ska denne</w:t>
      </w:r>
      <w:r w:rsidR="00012DA5" w:rsidRPr="0060730B">
        <w:t xml:space="preserve"> kunna lämna slutenvården</w:t>
      </w:r>
      <w:r w:rsidR="00166E8B" w:rsidRPr="0060730B">
        <w:t>.</w:t>
      </w:r>
    </w:p>
    <w:p w14:paraId="6C158D55" w14:textId="77777777" w:rsidR="00755A5B" w:rsidRDefault="00755A5B" w:rsidP="00755A5B">
      <w:pPr>
        <w:pStyle w:val="Brdtext-RJH"/>
        <w:rPr>
          <w:lang w:val="sv-SE"/>
        </w:rPr>
      </w:pPr>
    </w:p>
    <w:p w14:paraId="3C6B6D2C" w14:textId="0C3F422B" w:rsidR="00755A5B" w:rsidRPr="00F54B0B" w:rsidRDefault="00A0446A" w:rsidP="00755A5B">
      <w:pPr>
        <w:pStyle w:val="Brdtext-RJH"/>
        <w:rPr>
          <w:lang w:val="sv-SE"/>
        </w:rPr>
      </w:pPr>
      <w:r>
        <w:rPr>
          <w:lang w:val="sv-SE"/>
        </w:rPr>
        <w:t>Meddelande om utskrivningsklar</w:t>
      </w:r>
      <w:r w:rsidR="00166E8B" w:rsidRPr="00166E8B">
        <w:t xml:space="preserve"> innebär </w:t>
      </w:r>
      <w:r w:rsidR="00166E8B" w:rsidRPr="00755A5B">
        <w:t>att</w:t>
      </w:r>
      <w:r w:rsidR="00E9777A">
        <w:rPr>
          <w:lang w:val="sv-SE"/>
        </w:rPr>
        <w:t xml:space="preserve"> personen är</w:t>
      </w:r>
      <w:r w:rsidR="00166E8B" w:rsidRPr="00755A5B">
        <w:t xml:space="preserve"> </w:t>
      </w:r>
      <w:r w:rsidR="00012DA5" w:rsidRPr="00755A5B">
        <w:rPr>
          <w:lang w:val="sv-SE"/>
        </w:rPr>
        <w:t>hemgångsklar</w:t>
      </w:r>
      <w:r w:rsidR="00166E8B" w:rsidRPr="00166E8B">
        <w:t xml:space="preserve">. </w:t>
      </w:r>
    </w:p>
    <w:p w14:paraId="66753697" w14:textId="77777777" w:rsidR="00755A5B" w:rsidRDefault="00755A5B" w:rsidP="00755A5B">
      <w:pPr>
        <w:pStyle w:val="Brdtext-RJH"/>
        <w:rPr>
          <w:rFonts w:eastAsia="Times New Roman" w:cs="Times New Roman"/>
          <w:color w:val="000000"/>
          <w:lang w:eastAsia="sv-SE"/>
        </w:rPr>
      </w:pPr>
    </w:p>
    <w:p w14:paraId="28E39482" w14:textId="54E1736A" w:rsidR="00166E8B" w:rsidRPr="00E915B7" w:rsidRDefault="00166E8B" w:rsidP="00755A5B">
      <w:pPr>
        <w:pStyle w:val="Brdtext-RJH"/>
        <w:rPr>
          <w:rFonts w:eastAsia="Times New Roman" w:cs="Times New Roman"/>
          <w:color w:val="000000"/>
          <w:lang w:eastAsia="sv-SE"/>
        </w:rPr>
      </w:pPr>
      <w:r w:rsidRPr="00E915B7">
        <w:rPr>
          <w:rFonts w:eastAsia="Times New Roman" w:cs="Times New Roman"/>
          <w:color w:val="000000"/>
          <w:lang w:eastAsia="sv-SE"/>
        </w:rPr>
        <w:t xml:space="preserve">Hemgångsklar innebär att: </w:t>
      </w:r>
    </w:p>
    <w:p w14:paraId="3DC51851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behandlande läkare har bedömt att personen är utskrivningsklar </w:t>
      </w:r>
    </w:p>
    <w:p w14:paraId="4D42B424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behandlande läkaren har tagi</w:t>
      </w:r>
      <w:r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t ställning till egenvård se</w:t>
      </w: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 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>bilaga 1 samt lokala rutiner</w:t>
      </w:r>
    </w:p>
    <w:p w14:paraId="5AA3DEE7" w14:textId="77777777" w:rsidR="00166E8B" w:rsidRPr="00E70988" w:rsidRDefault="00166E8B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i/>
          <w:color w:val="000000"/>
          <w:szCs w:val="20"/>
          <w:lang w:val="la-Latn" w:eastAsia="sv-SE"/>
        </w:rPr>
      </w:pPr>
      <w:r w:rsidRPr="00E70988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fast vårdkontakt har utsetts av regionens öppna vård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</w:t>
      </w:r>
    </w:p>
    <w:p w14:paraId="5BAB32E3" w14:textId="77777777" w:rsidR="00012DA5" w:rsidRDefault="00166E8B" w:rsidP="00166363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nödvändig information har överförts till de enheter som har fått ett inskrivningsmeddelande </w:t>
      </w:r>
    </w:p>
    <w:p w14:paraId="51CC08AE" w14:textId="2F63A312" w:rsidR="00166E8B" w:rsidRPr="00FC23F3" w:rsidRDefault="00F24DE2" w:rsidP="00166363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strike/>
          <w:color w:val="000000"/>
          <w:szCs w:val="20"/>
          <w:lang w:val="la-Latn" w:eastAsia="sv-SE"/>
        </w:rPr>
      </w:pPr>
      <w:r w:rsidRPr="000C6967">
        <w:rPr>
          <w:rFonts w:ascii="Georgia" w:eastAsia="Times New Roman" w:hAnsi="Georgia" w:cs="Times New Roman"/>
          <w:color w:val="000000"/>
          <w:szCs w:val="20"/>
          <w:lang w:eastAsia="sv-SE"/>
        </w:rPr>
        <w:t>personen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ska ha tillgång till</w:t>
      </w: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 </w:t>
      </w:r>
      <w:r w:rsidR="00166E8B"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nödvändiga </w:t>
      </w:r>
      <w:r w:rsidR="00166E8B" w:rsidRPr="0043454E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hjälpmedel</w:t>
      </w:r>
      <w:r w:rsidR="003108D6">
        <w:rPr>
          <w:rStyle w:val="Fotnotsreferens"/>
          <w:rFonts w:ascii="Georgia" w:eastAsia="Times New Roman" w:hAnsi="Georgia" w:cs="Times New Roman"/>
          <w:color w:val="000000"/>
          <w:szCs w:val="20"/>
          <w:lang w:val="la-Latn" w:eastAsia="sv-SE"/>
        </w:rPr>
        <w:footnoteReference w:id="3"/>
      </w:r>
      <w:r w:rsidR="0043454E" w:rsidRPr="0043454E"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</w:t>
      </w:r>
      <w:r w:rsidR="00166E8B" w:rsidRPr="0043454E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och</w:t>
      </w:r>
      <w:r w:rsidR="00166E8B"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 medicinteknisk </w:t>
      </w:r>
      <w:r w:rsidR="00400CDB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>utrustning</w:t>
      </w:r>
      <w:r w:rsidR="0043454E">
        <w:rPr>
          <w:rFonts w:ascii="Georgia" w:eastAsia="Times New Roman" w:hAnsi="Georgia" w:cs="Times New Roman"/>
          <w:color w:val="000000"/>
          <w:szCs w:val="20"/>
          <w:lang w:eastAsia="sv-SE"/>
        </w:rPr>
        <w:t>.</w:t>
      </w:r>
      <w:r w:rsidR="00166E8B" w:rsidRPr="00FC23F3">
        <w:rPr>
          <w:rFonts w:ascii="Georgia" w:eastAsia="Times New Roman" w:hAnsi="Georgia" w:cs="Times New Roman"/>
          <w:strike/>
          <w:color w:val="000000"/>
          <w:szCs w:val="20"/>
          <w:lang w:val="la-Latn" w:eastAsia="sv-SE"/>
        </w:rPr>
        <w:t xml:space="preserve"> </w:t>
      </w:r>
    </w:p>
    <w:p w14:paraId="1B75C95D" w14:textId="0D08B100" w:rsidR="00166E8B" w:rsidRPr="00F54B0B" w:rsidRDefault="00F24DE2" w:rsidP="0076277B">
      <w:pPr>
        <w:numPr>
          <w:ilvl w:val="0"/>
          <w:numId w:val="35"/>
        </w:numPr>
        <w:textAlignment w:val="center"/>
        <w:rPr>
          <w:rFonts w:ascii="Georgia" w:eastAsia="Times New Roman" w:hAnsi="Georgia" w:cs="Times New Roman"/>
          <w:color w:val="000000"/>
          <w:szCs w:val="20"/>
          <w:lang w:val="la-Latn" w:eastAsia="sv-SE"/>
        </w:rPr>
      </w:pPr>
      <w:r w:rsidRPr="000C6967">
        <w:rPr>
          <w:rFonts w:ascii="Georgia" w:eastAsia="Times New Roman" w:hAnsi="Georgia" w:cs="Times New Roman"/>
          <w:color w:val="000000"/>
          <w:szCs w:val="20"/>
          <w:lang w:eastAsia="sv-SE"/>
        </w:rPr>
        <w:t>personen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ska ha tillgång</w:t>
      </w:r>
      <w:r>
        <w:rPr>
          <w:rStyle w:val="Fotnotsreferens"/>
          <w:rFonts w:ascii="Georgia" w:eastAsia="Times New Roman" w:hAnsi="Georgia" w:cs="Times New Roman"/>
          <w:color w:val="000000"/>
          <w:szCs w:val="20"/>
          <w:lang w:eastAsia="sv-SE"/>
        </w:rPr>
        <w:footnoteReference w:id="4"/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till</w:t>
      </w:r>
      <w:r w:rsidRPr="000C6967">
        <w:rPr>
          <w:rFonts w:ascii="Georgia" w:eastAsia="Times New Roman" w:hAnsi="Georgia" w:cs="Times New Roman"/>
          <w:color w:val="000000"/>
          <w:szCs w:val="20"/>
          <w:lang w:val="la-Latn" w:eastAsia="sv-SE"/>
        </w:rPr>
        <w:t xml:space="preserve"> </w:t>
      </w:r>
      <w:r w:rsidR="00166E8B" w:rsidRPr="00E70988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 xml:space="preserve">nödvändiga </w:t>
      </w:r>
      <w:r w:rsidR="00166E8B" w:rsidRPr="00FA2B7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>l</w:t>
      </w:r>
      <w:r w:rsidR="00166E8B" w:rsidRPr="00FA2B7E">
        <w:rPr>
          <w:rFonts w:ascii="Georgia" w:eastAsia="Times New Roman" w:hAnsi="Georgia" w:cs="Times New Roman"/>
          <w:iCs/>
          <w:color w:val="000000"/>
          <w:szCs w:val="20"/>
          <w:lang w:val="la-Latn" w:eastAsia="sv-SE"/>
        </w:rPr>
        <w:t>äkemedel</w:t>
      </w:r>
      <w:r w:rsidR="00C22B5A" w:rsidRPr="00FA2B7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 xml:space="preserve"> och recept</w:t>
      </w:r>
      <w:r w:rsidR="0043454E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>, specifikt sjukvårdsmaterial och särskilt nutritionsbehov såsom sondnäring och kosttillägg</w:t>
      </w:r>
      <w:r w:rsidR="00166E8B" w:rsidRPr="00FA2B7E">
        <w:rPr>
          <w:rFonts w:ascii="Georgia" w:eastAsia="Times New Roman" w:hAnsi="Georgia" w:cs="Times New Roman"/>
          <w:iCs/>
          <w:color w:val="000000"/>
          <w:szCs w:val="20"/>
          <w:lang w:val="la-Latn" w:eastAsia="sv-SE"/>
        </w:rPr>
        <w:t xml:space="preserve"> </w:t>
      </w:r>
      <w:r w:rsidR="00A0446A">
        <w:rPr>
          <w:rFonts w:ascii="Georgia" w:eastAsia="Times New Roman" w:hAnsi="Georgia" w:cs="Times New Roman"/>
          <w:iCs/>
          <w:color w:val="000000"/>
          <w:szCs w:val="20"/>
          <w:lang w:eastAsia="sv-SE"/>
        </w:rPr>
        <w:t>för de närmaste 5 dagarna</w:t>
      </w:r>
    </w:p>
    <w:p w14:paraId="75BED8B9" w14:textId="77777777" w:rsidR="00F54B0B" w:rsidRDefault="00F54B0B" w:rsidP="00F54B0B">
      <w:pPr>
        <w:textAlignment w:val="center"/>
        <w:rPr>
          <w:rFonts w:ascii="Georgia" w:eastAsia="Times New Roman" w:hAnsi="Georgia" w:cs="Times New Roman"/>
          <w:color w:val="000000"/>
          <w:szCs w:val="20"/>
          <w:lang w:eastAsia="sv-SE"/>
        </w:rPr>
      </w:pPr>
    </w:p>
    <w:p w14:paraId="7F54903E" w14:textId="06981468" w:rsidR="00F54B0B" w:rsidRPr="00F54B0B" w:rsidRDefault="00F54B0B" w:rsidP="00F54B0B">
      <w:pPr>
        <w:textAlignment w:val="center"/>
        <w:rPr>
          <w:rFonts w:ascii="Georgia" w:eastAsia="Times New Roman" w:hAnsi="Georgia" w:cs="Times New Roman"/>
          <w:color w:val="000000"/>
          <w:szCs w:val="20"/>
          <w:lang w:eastAsia="sv-SE"/>
        </w:rPr>
      </w:pPr>
      <w:r>
        <w:rPr>
          <w:rFonts w:ascii="Georgia" w:eastAsia="Times New Roman" w:hAnsi="Georgia" w:cs="Times New Roman"/>
          <w:color w:val="000000"/>
          <w:szCs w:val="20"/>
          <w:lang w:eastAsia="sv-SE"/>
        </w:rPr>
        <w:t>Av</w:t>
      </w:r>
      <w:r w:rsidR="00E9777A">
        <w:rPr>
          <w:rFonts w:ascii="Georgia" w:eastAsia="Times New Roman" w:hAnsi="Georgia" w:cs="Times New Roman"/>
          <w:color w:val="000000"/>
          <w:szCs w:val="20"/>
          <w:lang w:eastAsia="sv-SE"/>
        </w:rPr>
        <w:t>steg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 </w:t>
      </w:r>
      <w:r w:rsidR="00E9777A"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från </w:t>
      </w:r>
      <w:r w:rsidR="00F24DE2"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följsamhet av </w:t>
      </w:r>
      <w:r w:rsidR="00E9777A">
        <w:rPr>
          <w:rFonts w:ascii="Georgia" w:eastAsia="Times New Roman" w:hAnsi="Georgia" w:cs="Times New Roman"/>
          <w:color w:val="000000"/>
          <w:szCs w:val="20"/>
          <w:lang w:eastAsia="sv-SE"/>
        </w:rPr>
        <w:t xml:space="preserve">ovanstående </w:t>
      </w:r>
      <w:r>
        <w:rPr>
          <w:rFonts w:ascii="Georgia" w:eastAsia="Times New Roman" w:hAnsi="Georgia" w:cs="Times New Roman"/>
          <w:color w:val="000000"/>
          <w:szCs w:val="20"/>
          <w:lang w:eastAsia="sv-SE"/>
        </w:rPr>
        <w:t>rapporteras enligt rutiner för avvikelsehantering.</w:t>
      </w:r>
    </w:p>
    <w:p w14:paraId="10BAB993" w14:textId="104531D5" w:rsidR="00166E8B" w:rsidRDefault="00166E8B" w:rsidP="00166E8B">
      <w:pPr>
        <w:pStyle w:val="Brdtext-RJH"/>
        <w:rPr>
          <w:lang w:val="sv-SE"/>
        </w:rPr>
      </w:pPr>
    </w:p>
    <w:p w14:paraId="49957DE9" w14:textId="247E18A7" w:rsidR="006D6CFA" w:rsidRPr="006D6CFA" w:rsidRDefault="006D6CFA" w:rsidP="00647380">
      <w:pPr>
        <w:rPr>
          <w:rFonts w:ascii="Georgia" w:hAnsi="Georgia"/>
          <w:b/>
          <w:szCs w:val="20"/>
        </w:rPr>
      </w:pPr>
      <w:r w:rsidRPr="006D6CFA">
        <w:rPr>
          <w:rFonts w:ascii="Georgia" w:hAnsi="Georgia"/>
          <w:b/>
          <w:szCs w:val="20"/>
        </w:rPr>
        <w:t>Utskrivning</w:t>
      </w:r>
    </w:p>
    <w:p w14:paraId="17510372" w14:textId="39BC2D27" w:rsidR="006D6CFA" w:rsidRDefault="00012DA5" w:rsidP="00755A5B">
      <w:pPr>
        <w:pStyle w:val="Brdtext-RJH"/>
        <w:rPr>
          <w:lang w:val="sv-SE"/>
        </w:rPr>
      </w:pPr>
      <w:r w:rsidRPr="006D6CFA">
        <w:rPr>
          <w:lang w:val="sv-SE"/>
        </w:rPr>
        <w:t>Planerad utskrivning från slutenvården sker mellan klockan 07:00 – 17:00 veckans alla dagar.</w:t>
      </w:r>
    </w:p>
    <w:p w14:paraId="031D016C" w14:textId="77777777" w:rsidR="00755A5B" w:rsidRPr="00647380" w:rsidRDefault="00755A5B" w:rsidP="00755A5B">
      <w:pPr>
        <w:pStyle w:val="Brdtext-RJH"/>
      </w:pPr>
    </w:p>
    <w:p w14:paraId="54E9447D" w14:textId="06239DAB" w:rsidR="00647380" w:rsidRDefault="002E280E" w:rsidP="00755A5B">
      <w:pPr>
        <w:pStyle w:val="Brdtext-RJH"/>
      </w:pPr>
      <w:r>
        <w:rPr>
          <w:lang w:val="sv-SE"/>
        </w:rPr>
        <w:t>Om behov finns av SIP, enligt riktlinje</w:t>
      </w:r>
      <w:r w:rsidR="00480FCA">
        <w:rPr>
          <w:lang w:val="sv-SE"/>
        </w:rPr>
        <w:t>r för samarbete vid in- och utskrivning från slutenvård</w:t>
      </w:r>
      <w:r w:rsidR="00EE7563">
        <w:rPr>
          <w:lang w:val="sv-SE"/>
        </w:rPr>
        <w:t>,</w:t>
      </w:r>
      <w:r w:rsidR="00480FCA">
        <w:rPr>
          <w:lang w:val="sv-SE"/>
        </w:rPr>
        <w:t xml:space="preserve"> ska f</w:t>
      </w:r>
      <w:r w:rsidR="00A46603" w:rsidRPr="00A579CA">
        <w:t>ast vår</w:t>
      </w:r>
      <w:r w:rsidR="00092A81">
        <w:t>dkontakt ansvara för att inom tre</w:t>
      </w:r>
      <w:r w:rsidR="00A46603" w:rsidRPr="00A579CA">
        <w:t xml:space="preserve"> dagar från meddelande om utskrivningsklar </w:t>
      </w:r>
      <w:r w:rsidR="00A46603" w:rsidRPr="00647380">
        <w:rPr>
          <w:b/>
        </w:rPr>
        <w:t xml:space="preserve">kalla till </w:t>
      </w:r>
      <w:r w:rsidR="00051B26" w:rsidRPr="00647380">
        <w:rPr>
          <w:b/>
          <w:lang w:val="sv-SE"/>
        </w:rPr>
        <w:t xml:space="preserve">samordnad individuell plan </w:t>
      </w:r>
      <w:r w:rsidR="00051B26" w:rsidRPr="00647380">
        <w:rPr>
          <w:lang w:val="sv-SE"/>
        </w:rPr>
        <w:t>(SIP)</w:t>
      </w:r>
      <w:r w:rsidR="00A46603" w:rsidRPr="00051B26">
        <w:t xml:space="preserve"> </w:t>
      </w:r>
      <w:r w:rsidR="00A46603" w:rsidRPr="00A579CA">
        <w:t>enligt rutin</w:t>
      </w:r>
      <w:r w:rsidR="00051B26" w:rsidRPr="00647380">
        <w:rPr>
          <w:lang w:val="sv-SE"/>
        </w:rPr>
        <w:t>/användarstöd</w:t>
      </w:r>
      <w:r w:rsidR="00092A81" w:rsidRPr="00647380">
        <w:rPr>
          <w:lang w:val="sv-SE"/>
        </w:rPr>
        <w:t xml:space="preserve">. </w:t>
      </w:r>
      <w:r w:rsidR="00E265AF" w:rsidRPr="00F24DE2">
        <w:rPr>
          <w:lang w:val="sv-SE"/>
        </w:rPr>
        <w:t xml:space="preserve">Personen </w:t>
      </w:r>
      <w:r w:rsidR="00F24DE2" w:rsidRPr="00F24DE2">
        <w:rPr>
          <w:lang w:val="sv-SE"/>
        </w:rPr>
        <w:t xml:space="preserve">kan tacka nej. </w:t>
      </w:r>
      <w:r w:rsidR="00781B7E" w:rsidRPr="00F24DE2">
        <w:t>SIP</w:t>
      </w:r>
      <w:r w:rsidR="00781B7E" w:rsidRPr="00A579CA">
        <w:t xml:space="preserve"> ska genomföras när</w:t>
      </w:r>
      <w:r w:rsidR="00F914D6" w:rsidRPr="00647380">
        <w:rPr>
          <w:lang w:val="sv-SE"/>
        </w:rPr>
        <w:t>/var</w:t>
      </w:r>
      <w:r w:rsidR="00781B7E" w:rsidRPr="00A579CA">
        <w:t xml:space="preserve"> det är </w:t>
      </w:r>
      <w:proofErr w:type="spellStart"/>
      <w:r w:rsidR="00F914D6" w:rsidRPr="00647380">
        <w:rPr>
          <w:lang w:val="sv-SE"/>
        </w:rPr>
        <w:t>bäs</w:t>
      </w:r>
      <w:proofErr w:type="spellEnd"/>
      <w:r w:rsidR="00781B7E" w:rsidRPr="00A579CA">
        <w:t>t för personen.</w:t>
      </w:r>
    </w:p>
    <w:p w14:paraId="1EBE8663" w14:textId="77777777" w:rsidR="00755A5B" w:rsidRDefault="00755A5B" w:rsidP="00755A5B">
      <w:pPr>
        <w:pStyle w:val="Brdtext-RJH"/>
        <w:rPr>
          <w:lang w:eastAsia="sv-SE"/>
        </w:rPr>
      </w:pPr>
    </w:p>
    <w:p w14:paraId="554C4A78" w14:textId="4B38DD24" w:rsidR="0076277B" w:rsidRPr="00E70988" w:rsidRDefault="000C6967" w:rsidP="00755A5B">
      <w:pPr>
        <w:pStyle w:val="Brdtext-RJH"/>
        <w:rPr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P</w:t>
      </w:r>
      <w:r w:rsidR="0076277B" w:rsidRPr="00E70988">
        <w:rPr>
          <w:rFonts w:eastAsia="Times New Roman" w:cs="Times New Roman"/>
          <w:color w:val="000000"/>
          <w:lang w:eastAsia="sv-SE"/>
        </w:rPr>
        <w:t>ersoner som ska skrivas ut till öppen psykiatrisk tvångsvård eller öppen rättspsykiatrisk vård ska ha en samordnad vårdplan</w:t>
      </w:r>
      <w:r w:rsidR="00AE3928">
        <w:rPr>
          <w:rStyle w:val="Fotnotsreferens"/>
        </w:rPr>
        <w:footnoteReference w:id="5"/>
      </w:r>
      <w:hyperlink r:id="rId11" w:anchor="_ftn1" w:history="1">
        <w:r w:rsidR="00EB7BE2" w:rsidRPr="00EB7BE2">
          <w:rPr>
            <w:rStyle w:val="Hyperlnk"/>
            <w:rFonts w:ascii="Arial Narrow" w:hAnsi="Arial Narrow"/>
            <w:szCs w:val="22"/>
            <w:lang w:val="sv-SE"/>
          </w:rPr>
          <w:t>\\jllnap12\files\anle\Mina Dokument\Hemsjukvårdsavtal\</w:t>
        </w:r>
        <w:proofErr w:type="spellStart"/>
        <w:r w:rsidR="00EB7BE2" w:rsidRPr="00EB7BE2">
          <w:rPr>
            <w:rStyle w:val="Hyperlnk"/>
            <w:rFonts w:ascii="Arial Narrow" w:hAnsi="Arial Narrow"/>
            <w:szCs w:val="22"/>
            <w:lang w:val="sv-SE"/>
          </w:rPr>
          <w:t>Losus</w:t>
        </w:r>
        <w:proofErr w:type="spellEnd"/>
        <w:r w:rsidR="00EB7BE2" w:rsidRPr="00EB7BE2">
          <w:rPr>
            <w:rStyle w:val="Hyperlnk"/>
            <w:rFonts w:ascii="Arial Narrow" w:hAnsi="Arial Narrow"/>
            <w:szCs w:val="22"/>
            <w:lang w:val="sv-SE"/>
          </w:rPr>
          <w:t xml:space="preserve"> utkast </w:t>
        </w:r>
        <w:r w:rsidR="00EB7BE2" w:rsidRPr="00EB7BE2">
          <w:rPr>
            <w:rStyle w:val="Hyperlnk"/>
            <w:rFonts w:ascii="Arial Narrow" w:hAnsi="Arial Narrow"/>
            <w:szCs w:val="22"/>
            <w:lang w:val="sv-SE"/>
          </w:rPr>
          <w:lastRenderedPageBreak/>
          <w:t>170920.docx - _ftn1</w:t>
        </w:r>
      </w:hyperlink>
      <w:r w:rsidR="0076277B" w:rsidRPr="00E70988">
        <w:rPr>
          <w:rFonts w:eastAsia="Times New Roman" w:cs="Times New Roman"/>
          <w:color w:val="000000"/>
          <w:lang w:eastAsia="sv-SE"/>
        </w:rPr>
        <w:t xml:space="preserve"> </w:t>
      </w:r>
      <w:r w:rsidR="000A0A5B">
        <w:rPr>
          <w:rFonts w:eastAsia="Times New Roman" w:cs="Times New Roman"/>
          <w:color w:val="000000"/>
          <w:lang w:val="sv-SE" w:eastAsia="sv-SE"/>
        </w:rPr>
        <w:t xml:space="preserve">som fastställts av förvaltningsrätten </w:t>
      </w:r>
      <w:r w:rsidR="0076277B" w:rsidRPr="00E70988">
        <w:rPr>
          <w:rFonts w:eastAsia="Times New Roman" w:cs="Times New Roman"/>
          <w:color w:val="000000"/>
          <w:lang w:eastAsia="sv-SE"/>
        </w:rPr>
        <w:t xml:space="preserve">innan </w:t>
      </w:r>
      <w:r w:rsidR="00944F59">
        <w:rPr>
          <w:rFonts w:eastAsia="Times New Roman" w:cs="Times New Roman"/>
          <w:color w:val="000000"/>
          <w:lang w:val="sv-SE" w:eastAsia="sv-SE"/>
        </w:rPr>
        <w:t xml:space="preserve">utskrivningsklar kan skickas och </w:t>
      </w:r>
      <w:r w:rsidR="0076277B">
        <w:rPr>
          <w:rFonts w:eastAsia="Times New Roman" w:cs="Times New Roman"/>
          <w:color w:val="000000"/>
          <w:lang w:eastAsia="sv-SE"/>
        </w:rPr>
        <w:t>personen</w:t>
      </w:r>
      <w:r w:rsidR="0076277B" w:rsidRPr="00E70988">
        <w:rPr>
          <w:rFonts w:eastAsia="Times New Roman" w:cs="Times New Roman"/>
          <w:color w:val="000000"/>
          <w:lang w:eastAsia="sv-SE"/>
        </w:rPr>
        <w:t xml:space="preserve"> lämnar sjukhuset.</w:t>
      </w:r>
    </w:p>
    <w:p w14:paraId="60A0C75C" w14:textId="77777777" w:rsidR="00C722E5" w:rsidRPr="00A579CA" w:rsidRDefault="00C722E5" w:rsidP="00E82FE2">
      <w:pPr>
        <w:pStyle w:val="Rubrik2"/>
      </w:pPr>
      <w:r w:rsidRPr="00A579CA">
        <w:t>D</w:t>
      </w:r>
      <w:r w:rsidR="008B206A">
        <w:t>okumentation</w:t>
      </w:r>
    </w:p>
    <w:p w14:paraId="130CF77B" w14:textId="57E1455D" w:rsidR="00AE2C5A" w:rsidRDefault="004C5459" w:rsidP="00A579CA">
      <w:pPr>
        <w:pStyle w:val="Brdtext-RJH"/>
        <w:rPr>
          <w:lang w:val="sv-SE"/>
        </w:rPr>
      </w:pPr>
      <w:proofErr w:type="spellStart"/>
      <w:r>
        <w:rPr>
          <w:lang w:val="sv-SE"/>
        </w:rPr>
        <w:t>Utskrivningsp</w:t>
      </w:r>
      <w:proofErr w:type="spellEnd"/>
      <w:r w:rsidR="007E5EB9" w:rsidRPr="00A579CA">
        <w:t xml:space="preserve">lanering </w:t>
      </w:r>
      <w:r w:rsidR="00B42194">
        <w:rPr>
          <w:lang w:val="sv-SE"/>
        </w:rPr>
        <w:t xml:space="preserve">och samordnad individuell plan </w:t>
      </w:r>
      <w:r w:rsidR="007E5EB9" w:rsidRPr="00A579CA">
        <w:t xml:space="preserve">ska </w:t>
      </w:r>
      <w:r w:rsidR="00B42194">
        <w:rPr>
          <w:lang w:val="sv-SE"/>
        </w:rPr>
        <w:t>dokumenteras</w:t>
      </w:r>
      <w:r w:rsidR="007E5EB9" w:rsidRPr="00A579CA">
        <w:t xml:space="preserve"> i gemensamt IT-stöd.</w:t>
      </w:r>
      <w:r w:rsidR="00410A34">
        <w:rPr>
          <w:lang w:val="sv-SE"/>
        </w:rPr>
        <w:t xml:space="preserve"> </w:t>
      </w:r>
      <w:r w:rsidR="003E34D2">
        <w:rPr>
          <w:lang w:val="sv-SE"/>
        </w:rPr>
        <w:t>Övrig d</w:t>
      </w:r>
      <w:r w:rsidR="00410A34">
        <w:rPr>
          <w:lang w:val="sv-SE"/>
        </w:rPr>
        <w:t xml:space="preserve">okumentation </w:t>
      </w:r>
      <w:r w:rsidR="00552F8D">
        <w:rPr>
          <w:lang w:val="sv-SE"/>
        </w:rPr>
        <w:t xml:space="preserve">knuten till den enskilde </w:t>
      </w:r>
      <w:r w:rsidR="00410A34">
        <w:rPr>
          <w:lang w:val="sv-SE"/>
        </w:rPr>
        <w:t>sker i respektive huvudmans journalsystem.</w:t>
      </w:r>
    </w:p>
    <w:p w14:paraId="737EE21A" w14:textId="27DA41EC" w:rsidR="00654F6A" w:rsidRPr="00A579CA" w:rsidRDefault="008B206A" w:rsidP="00E82FE2">
      <w:pPr>
        <w:pStyle w:val="Rubrik2"/>
      </w:pPr>
      <w:r>
        <w:t>Ekonomisk reglering</w:t>
      </w:r>
    </w:p>
    <w:p w14:paraId="7ACCBEE0" w14:textId="0BBD76FF" w:rsidR="009E3D04" w:rsidRPr="009E3D04" w:rsidRDefault="00FC23F3" w:rsidP="008B206A">
      <w:pPr>
        <w:pStyle w:val="Brdtext-RJH"/>
        <w:rPr>
          <w:b/>
          <w:lang w:val="sv-SE"/>
        </w:rPr>
      </w:pPr>
      <w:r>
        <w:rPr>
          <w:b/>
          <w:lang w:val="sv-SE"/>
        </w:rPr>
        <w:t>Målbild</w:t>
      </w:r>
    </w:p>
    <w:p w14:paraId="5CAE0A3C" w14:textId="7D01C2D4" w:rsidR="006A2CD3" w:rsidRDefault="00FA2B7E" w:rsidP="008B206A">
      <w:pPr>
        <w:pStyle w:val="Brdtext-RJH"/>
        <w:rPr>
          <w:lang w:val="sv-SE"/>
        </w:rPr>
      </w:pPr>
      <w:r>
        <w:rPr>
          <w:lang w:val="sv-SE"/>
        </w:rPr>
        <w:t>Parterna är överens om att p</w:t>
      </w:r>
      <w:r w:rsidR="00944F59">
        <w:rPr>
          <w:lang w:val="sv-SE"/>
        </w:rPr>
        <w:t>ersoner</w:t>
      </w:r>
      <w:r>
        <w:rPr>
          <w:lang w:val="sv-SE"/>
        </w:rPr>
        <w:t xml:space="preserve"> ska kunna få komma hem från sjukhuset</w:t>
      </w:r>
      <w:r w:rsidR="00944F59">
        <w:rPr>
          <w:lang w:val="sv-SE"/>
        </w:rPr>
        <w:t xml:space="preserve"> </w:t>
      </w:r>
      <w:r w:rsidR="00B21BD7">
        <w:rPr>
          <w:lang w:val="sv-SE"/>
        </w:rPr>
        <w:t>när de är utskrivningsklara (samma dag eller dagen efter).</w:t>
      </w:r>
      <w:r w:rsidR="00AE3928">
        <w:rPr>
          <w:lang w:val="sv-SE"/>
        </w:rPr>
        <w:t xml:space="preserve"> </w:t>
      </w:r>
    </w:p>
    <w:p w14:paraId="2CE42F85" w14:textId="77777777" w:rsidR="00430A32" w:rsidRDefault="00430A32" w:rsidP="00EB7BE8">
      <w:pPr>
        <w:pStyle w:val="Brdtext-RJH"/>
        <w:rPr>
          <w:b/>
          <w:lang w:val="sv-SE"/>
        </w:rPr>
      </w:pPr>
    </w:p>
    <w:p w14:paraId="5DCDA36B" w14:textId="030D362E" w:rsidR="006D2175" w:rsidRDefault="004E3E96" w:rsidP="00EB7BE8">
      <w:pPr>
        <w:pStyle w:val="Brdtext-RJH"/>
        <w:rPr>
          <w:b/>
          <w:lang w:val="sv-SE"/>
        </w:rPr>
      </w:pPr>
      <w:r>
        <w:rPr>
          <w:b/>
          <w:lang w:val="sv-SE"/>
        </w:rPr>
        <w:t>Analys</w:t>
      </w:r>
    </w:p>
    <w:p w14:paraId="588DC32A" w14:textId="32CC32D9" w:rsidR="00EB7BE8" w:rsidRDefault="00EB7BE8" w:rsidP="00EB7BE8">
      <w:pPr>
        <w:pStyle w:val="Brdtext-RJH"/>
        <w:rPr>
          <w:lang w:val="sv-SE"/>
        </w:rPr>
      </w:pPr>
      <w:r>
        <w:rPr>
          <w:lang w:val="sv-SE"/>
        </w:rPr>
        <w:t xml:space="preserve">Varje huvudman har ansvar för att löpande </w:t>
      </w:r>
      <w:r w:rsidRPr="008B206A">
        <w:rPr>
          <w:lang w:val="sv-SE"/>
        </w:rPr>
        <w:t>kontrollera följsamhet</w:t>
      </w:r>
      <w:r>
        <w:rPr>
          <w:lang w:val="sv-SE"/>
        </w:rPr>
        <w:t>en till avtal och riktlinjer</w:t>
      </w:r>
      <w:r w:rsidR="0024107D">
        <w:rPr>
          <w:lang w:val="sv-SE"/>
        </w:rPr>
        <w:t>.</w:t>
      </w:r>
      <w:r w:rsidRPr="008B206A">
        <w:rPr>
          <w:lang w:val="sv-SE"/>
        </w:rPr>
        <w:t xml:space="preserve"> </w:t>
      </w:r>
      <w:r w:rsidR="008E4464" w:rsidRPr="008B206A">
        <w:rPr>
          <w:lang w:val="sv-SE"/>
        </w:rPr>
        <w:t xml:space="preserve">Representanter från varje kommun och </w:t>
      </w:r>
      <w:r w:rsidR="008E4464">
        <w:rPr>
          <w:lang w:val="sv-SE"/>
        </w:rPr>
        <w:t>regionen</w:t>
      </w:r>
      <w:r w:rsidR="008E4464" w:rsidRPr="008B206A">
        <w:rPr>
          <w:lang w:val="sv-SE"/>
        </w:rPr>
        <w:t xml:space="preserve"> ska </w:t>
      </w:r>
      <w:r w:rsidR="008E4464">
        <w:rPr>
          <w:lang w:val="sv-SE"/>
        </w:rPr>
        <w:t xml:space="preserve">gemensamt granska </w:t>
      </w:r>
      <w:r w:rsidR="00EB202D">
        <w:rPr>
          <w:lang w:val="sv-SE"/>
        </w:rPr>
        <w:t>individ</w:t>
      </w:r>
      <w:r w:rsidR="00B21BD7">
        <w:rPr>
          <w:lang w:val="sv-SE"/>
        </w:rPr>
        <w:t xml:space="preserve">ärenden där betalningsansvar kan föreligga. Syftet är att hitta en gemensam bedömning av det specifika ärendet samt identifiera förbättringsområden. </w:t>
      </w:r>
    </w:p>
    <w:p w14:paraId="37939357" w14:textId="77777777" w:rsidR="00430A32" w:rsidRPr="00472AAB" w:rsidRDefault="00430A32" w:rsidP="00430A32">
      <w:pPr>
        <w:pStyle w:val="Brdtext-RJH"/>
        <w:rPr>
          <w:strike/>
          <w:lang w:val="sv-SE"/>
        </w:rPr>
      </w:pPr>
    </w:p>
    <w:p w14:paraId="338851CA" w14:textId="77777777" w:rsidR="00430A32" w:rsidRPr="00B2169C" w:rsidRDefault="00430A32" w:rsidP="00430A32">
      <w:pPr>
        <w:pStyle w:val="Brdtext-RJH"/>
        <w:rPr>
          <w:b/>
          <w:lang w:val="sv-SE"/>
        </w:rPr>
      </w:pPr>
      <w:r>
        <w:rPr>
          <w:b/>
          <w:lang w:val="sv-SE"/>
        </w:rPr>
        <w:t>Kommunens betalningsansvar</w:t>
      </w:r>
    </w:p>
    <w:p w14:paraId="0FB67C6A" w14:textId="58D16C7A" w:rsidR="00430A32" w:rsidRDefault="00430A32" w:rsidP="00430A32">
      <w:pPr>
        <w:pStyle w:val="Brdtext-RJH"/>
        <w:rPr>
          <w:lang w:val="sv-SE"/>
        </w:rPr>
      </w:pPr>
      <w:r>
        <w:rPr>
          <w:lang w:val="sv-SE"/>
        </w:rPr>
        <w:t xml:space="preserve">Kommunens betalningsansvar regleras enligt femte kapitlet i </w:t>
      </w:r>
      <w:r>
        <w:t>Lag (2017:612) om samverkan vid utskrivning från sluten hälso- och sjukvård</w:t>
      </w:r>
      <w:r>
        <w:rPr>
          <w:lang w:val="sv-SE"/>
        </w:rPr>
        <w:t xml:space="preserve">. </w:t>
      </w:r>
      <w:r w:rsidRPr="00104E58">
        <w:rPr>
          <w:lang w:val="sv-SE"/>
        </w:rPr>
        <w:t>K</w:t>
      </w:r>
      <w:r w:rsidRPr="00104E58">
        <w:t>ommunens betalningsansvar inträd</w:t>
      </w:r>
      <w:r w:rsidRPr="00104E58">
        <w:rPr>
          <w:lang w:val="sv-SE"/>
        </w:rPr>
        <w:t>er</w:t>
      </w:r>
      <w:r w:rsidRPr="00104E58">
        <w:t xml:space="preserve"> tre dagar efter det att e</w:t>
      </w:r>
      <w:proofErr w:type="spellStart"/>
      <w:r w:rsidR="00EB202D">
        <w:rPr>
          <w:lang w:val="sv-SE"/>
        </w:rPr>
        <w:t>tt</w:t>
      </w:r>
      <w:proofErr w:type="spellEnd"/>
      <w:r w:rsidRPr="00104E58">
        <w:t xml:space="preserve"> </w:t>
      </w:r>
      <w:r w:rsidRPr="00104E58">
        <w:rPr>
          <w:lang w:val="sv-SE"/>
        </w:rPr>
        <w:t>meddelande om utskrivningsklar</w:t>
      </w:r>
      <w:r w:rsidRPr="00104E58">
        <w:t xml:space="preserve"> har skickats. Om en sådan underrättelse skickas efter klockan 12.00, ska kommunens betalningsansvar emellertid inträda fyra dagar efter det att </w:t>
      </w:r>
      <w:r w:rsidRPr="00104E58">
        <w:rPr>
          <w:lang w:val="sv-SE"/>
        </w:rPr>
        <w:t>meddelandet</w:t>
      </w:r>
      <w:r w:rsidRPr="00104E58">
        <w:t xml:space="preserve"> har skickats.</w:t>
      </w:r>
      <w:r>
        <w:rPr>
          <w:lang w:val="sv-SE"/>
        </w:rPr>
        <w:t xml:space="preserve"> </w:t>
      </w:r>
      <w:r w:rsidRPr="008B206A">
        <w:rPr>
          <w:lang w:val="sv-SE"/>
        </w:rPr>
        <w:t xml:space="preserve">Kommunerna debiteras med </w:t>
      </w:r>
      <w:r>
        <w:rPr>
          <w:lang w:val="sv-SE"/>
        </w:rPr>
        <w:t xml:space="preserve">den summa </w:t>
      </w:r>
      <w:r w:rsidRPr="008B206A">
        <w:rPr>
          <w:lang w:val="sv-SE"/>
        </w:rPr>
        <w:t xml:space="preserve">per dygn </w:t>
      </w:r>
      <w:r>
        <w:rPr>
          <w:lang w:val="sv-SE"/>
        </w:rPr>
        <w:t>som Socialstyrelsen fastställer</w:t>
      </w:r>
      <w:r w:rsidRPr="009E3D04">
        <w:rPr>
          <w:lang w:val="sv-SE"/>
        </w:rPr>
        <w:t>.</w:t>
      </w:r>
      <w:r w:rsidRPr="008B206A">
        <w:rPr>
          <w:lang w:val="sv-SE"/>
        </w:rPr>
        <w:t xml:space="preserve"> Den ekonomiska regleringen hanteras kommunvis. </w:t>
      </w:r>
    </w:p>
    <w:p w14:paraId="4E67A8A5" w14:textId="77777777" w:rsidR="00EB202D" w:rsidRDefault="00EB202D" w:rsidP="00EB202D">
      <w:pPr>
        <w:pStyle w:val="Brdtext-RJH"/>
        <w:rPr>
          <w:b/>
          <w:lang w:val="sv-SE"/>
        </w:rPr>
      </w:pPr>
    </w:p>
    <w:p w14:paraId="5FD791E5" w14:textId="7F2BCD15" w:rsidR="00EB202D" w:rsidRPr="00683253" w:rsidRDefault="00EB202D" w:rsidP="00EB202D">
      <w:pPr>
        <w:pStyle w:val="Brdtext-RJH"/>
        <w:rPr>
          <w:b/>
          <w:lang w:val="sv-SE"/>
        </w:rPr>
      </w:pPr>
      <w:r w:rsidRPr="00683253">
        <w:rPr>
          <w:b/>
          <w:lang w:val="sv-SE"/>
        </w:rPr>
        <w:t>Belopp för debitering</w:t>
      </w:r>
    </w:p>
    <w:p w14:paraId="6C04E4EA" w14:textId="77777777" w:rsidR="00EB202D" w:rsidRDefault="00EB202D" w:rsidP="00EB202D">
      <w:pPr>
        <w:pStyle w:val="Brdtext-RJH"/>
        <w:rPr>
          <w:lang w:val="sv-SE"/>
        </w:rPr>
      </w:pPr>
      <w:r w:rsidRPr="008B206A">
        <w:rPr>
          <w:lang w:val="sv-SE"/>
        </w:rPr>
        <w:t xml:space="preserve">Kommunerna debiteras med </w:t>
      </w:r>
      <w:r>
        <w:rPr>
          <w:lang w:val="sv-SE"/>
        </w:rPr>
        <w:t xml:space="preserve">den summa </w:t>
      </w:r>
      <w:r w:rsidRPr="008B206A">
        <w:rPr>
          <w:lang w:val="sv-SE"/>
        </w:rPr>
        <w:t xml:space="preserve">per dygn </w:t>
      </w:r>
      <w:r>
        <w:rPr>
          <w:lang w:val="sv-SE"/>
        </w:rPr>
        <w:t>som Socialstyrelsen fastställer</w:t>
      </w:r>
      <w:r w:rsidRPr="009E3D04">
        <w:rPr>
          <w:lang w:val="sv-SE"/>
        </w:rPr>
        <w:t>.</w:t>
      </w:r>
      <w:r w:rsidRPr="008B206A">
        <w:rPr>
          <w:lang w:val="sv-SE"/>
        </w:rPr>
        <w:t xml:space="preserve"> Den ekonomiska regleringen hanteras kommunvis. </w:t>
      </w:r>
    </w:p>
    <w:p w14:paraId="12CEE656" w14:textId="77777777" w:rsidR="00EB202D" w:rsidRDefault="00EB202D" w:rsidP="00EB202D">
      <w:pPr>
        <w:pStyle w:val="Brdtext-RJH"/>
        <w:rPr>
          <w:strike/>
          <w:lang w:val="sv-SE"/>
        </w:rPr>
      </w:pPr>
    </w:p>
    <w:p w14:paraId="66CFB3AA" w14:textId="77777777" w:rsidR="00430A32" w:rsidRPr="008B206A" w:rsidRDefault="00430A32" w:rsidP="00430A32">
      <w:pPr>
        <w:pStyle w:val="Brdtext-RJH"/>
        <w:rPr>
          <w:lang w:val="sv-SE"/>
        </w:rPr>
      </w:pPr>
    </w:p>
    <w:p w14:paraId="492C73B3" w14:textId="77777777" w:rsidR="00430A32" w:rsidRPr="003C55AC" w:rsidRDefault="00430A32" w:rsidP="00430A32">
      <w:pPr>
        <w:pStyle w:val="Brdtext-RJH"/>
        <w:rPr>
          <w:b/>
          <w:lang w:val="sv-SE"/>
        </w:rPr>
      </w:pPr>
      <w:r w:rsidRPr="003C55AC">
        <w:rPr>
          <w:b/>
          <w:lang w:val="sv-SE"/>
        </w:rPr>
        <w:t>Villkor för kommunens betalningsansvarsfrihet</w:t>
      </w:r>
    </w:p>
    <w:p w14:paraId="152034CA" w14:textId="12E4560A" w:rsidR="00F70712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 xml:space="preserve">En kommun befrias från betalningsansvar för varje månad där andelen hemtagna patienter inom ett dygn* uppgår till </w:t>
      </w:r>
      <w:r w:rsidR="007D0574">
        <w:rPr>
          <w:lang w:val="sv-SE"/>
        </w:rPr>
        <w:t>75</w:t>
      </w:r>
      <w:r w:rsidRPr="003C55AC">
        <w:rPr>
          <w:lang w:val="sv-SE"/>
        </w:rPr>
        <w:t>% eller mer.</w:t>
      </w:r>
      <w:r w:rsidR="00F70712">
        <w:rPr>
          <w:lang w:val="sv-SE"/>
        </w:rPr>
        <w:t xml:space="preserve"> Dock kvarstår</w:t>
      </w:r>
    </w:p>
    <w:p w14:paraId="13CA7C85" w14:textId="3F9AC31C" w:rsidR="00430A32" w:rsidRPr="003C55AC" w:rsidRDefault="00F70712" w:rsidP="00430A32">
      <w:pPr>
        <w:pStyle w:val="Brdtext-RJH"/>
        <w:rPr>
          <w:lang w:val="sv-SE"/>
        </w:rPr>
      </w:pPr>
      <w:r>
        <w:rPr>
          <w:lang w:val="sv-SE"/>
        </w:rPr>
        <w:t xml:space="preserve">betalningsansvar för </w:t>
      </w:r>
      <w:r w:rsidR="00430A32" w:rsidRPr="003C55AC">
        <w:rPr>
          <w:lang w:val="sv-SE"/>
        </w:rPr>
        <w:t xml:space="preserve">patienter som blir kvar längre än </w:t>
      </w:r>
      <w:r>
        <w:rPr>
          <w:lang w:val="sv-SE"/>
        </w:rPr>
        <w:t>7</w:t>
      </w:r>
      <w:r w:rsidR="00430A32" w:rsidRPr="003C55AC">
        <w:rPr>
          <w:lang w:val="sv-SE"/>
        </w:rPr>
        <w:t xml:space="preserve"> dygn </w:t>
      </w:r>
      <w:r>
        <w:rPr>
          <w:lang w:val="sv-SE"/>
        </w:rPr>
        <w:t>(dvs från</w:t>
      </w:r>
      <w:r w:rsidR="007D0574">
        <w:rPr>
          <w:lang w:val="sv-SE"/>
        </w:rPr>
        <w:t xml:space="preserve"> och med</w:t>
      </w:r>
      <w:r>
        <w:rPr>
          <w:lang w:val="sv-SE"/>
        </w:rPr>
        <w:t xml:space="preserve"> dag 8) </w:t>
      </w:r>
      <w:r w:rsidR="00430A32" w:rsidRPr="003C55AC">
        <w:rPr>
          <w:lang w:val="sv-SE"/>
        </w:rPr>
        <w:t xml:space="preserve">efter att meddelande om utskrivningsklar skickats. </w:t>
      </w:r>
    </w:p>
    <w:p w14:paraId="5A17A94C" w14:textId="77777777" w:rsidR="00430A32" w:rsidRPr="003C55AC" w:rsidRDefault="00430A32" w:rsidP="00430A32">
      <w:pPr>
        <w:pStyle w:val="Brdtext-RJH"/>
        <w:rPr>
          <w:lang w:val="sv-SE"/>
        </w:rPr>
      </w:pPr>
    </w:p>
    <w:p w14:paraId="58C69E2D" w14:textId="77777777" w:rsidR="00430A32" w:rsidRPr="003C55AC" w:rsidRDefault="00430A32" w:rsidP="00430A32">
      <w:pPr>
        <w:pStyle w:val="Brdtext-RJH"/>
        <w:rPr>
          <w:strike/>
          <w:lang w:val="sv-SE"/>
        </w:rPr>
      </w:pPr>
      <w:r w:rsidRPr="003C55AC">
        <w:rPr>
          <w:lang w:val="sv-SE"/>
        </w:rPr>
        <w:t xml:space="preserve">* Med </w:t>
      </w:r>
      <w:r w:rsidRPr="003C55AC">
        <w:rPr>
          <w:i/>
          <w:lang w:val="sv-SE"/>
        </w:rPr>
        <w:t>inom ett dygn</w:t>
      </w:r>
      <w:r w:rsidRPr="003C55AC">
        <w:rPr>
          <w:lang w:val="sv-SE"/>
        </w:rPr>
        <w:t xml:space="preserve"> menas att patienten går hem </w:t>
      </w:r>
      <w:r w:rsidRPr="003C55AC">
        <w:rPr>
          <w:i/>
          <w:lang w:val="sv-SE"/>
        </w:rPr>
        <w:t>samma dag</w:t>
      </w:r>
      <w:r w:rsidRPr="003C55AC">
        <w:rPr>
          <w:lang w:val="sv-SE"/>
        </w:rPr>
        <w:t xml:space="preserve"> som meddelande om </w:t>
      </w:r>
      <w:r w:rsidRPr="00104E58">
        <w:rPr>
          <w:lang w:val="sv-SE"/>
        </w:rPr>
        <w:t xml:space="preserve">utskrivningsklar skickats och eller senast kl. 24.00 </w:t>
      </w:r>
      <w:r w:rsidRPr="00104E58">
        <w:rPr>
          <w:i/>
          <w:lang w:val="sv-SE"/>
        </w:rPr>
        <w:t>efterföljande</w:t>
      </w:r>
      <w:r w:rsidRPr="00104E58">
        <w:rPr>
          <w:lang w:val="sv-SE"/>
        </w:rPr>
        <w:t xml:space="preserve"> </w:t>
      </w:r>
      <w:r w:rsidRPr="00104E58">
        <w:rPr>
          <w:i/>
          <w:lang w:val="sv-SE"/>
        </w:rPr>
        <w:t>dag</w:t>
      </w:r>
      <w:r w:rsidRPr="00104E58">
        <w:rPr>
          <w:lang w:val="sv-SE"/>
        </w:rPr>
        <w:t>.</w:t>
      </w:r>
      <w:r w:rsidRPr="003C55AC">
        <w:rPr>
          <w:strike/>
          <w:lang w:val="sv-SE"/>
        </w:rPr>
        <w:t xml:space="preserve">  </w:t>
      </w:r>
    </w:p>
    <w:p w14:paraId="56AF0ED2" w14:textId="77777777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i/>
          <w:lang w:val="sv-SE"/>
        </w:rPr>
        <w:t>Samma dag</w:t>
      </w:r>
      <w:r w:rsidRPr="003C55AC">
        <w:rPr>
          <w:lang w:val="sv-SE"/>
        </w:rPr>
        <w:t xml:space="preserve"> benämns fortsättningsvis dag 0. </w:t>
      </w:r>
      <w:r w:rsidRPr="003C55AC">
        <w:rPr>
          <w:i/>
          <w:lang w:val="sv-SE"/>
        </w:rPr>
        <w:t>Efterföljande dag</w:t>
      </w:r>
      <w:r w:rsidRPr="003C55AC">
        <w:rPr>
          <w:lang w:val="sv-SE"/>
        </w:rPr>
        <w:t xml:space="preserve"> benämns fortsättningsvis dag 1.</w:t>
      </w:r>
      <w:r>
        <w:rPr>
          <w:lang w:val="sv-SE"/>
        </w:rPr>
        <w:t xml:space="preserve"> </w:t>
      </w:r>
      <w:r w:rsidRPr="003C55AC">
        <w:rPr>
          <w:lang w:val="sv-SE"/>
        </w:rPr>
        <w:t>Dygn 0 och 1 mäts månadsvis på rådata ur regionens IT-stöd för samordnad planering. Med rådata menas att ingen ensidig manuell bearbetning av materialet ska ske av någon av parterna.</w:t>
      </w:r>
    </w:p>
    <w:p w14:paraId="14D86C67" w14:textId="77777777" w:rsidR="00430A32" w:rsidRPr="003C55AC" w:rsidRDefault="00430A32" w:rsidP="00430A32">
      <w:pPr>
        <w:pStyle w:val="Brdtext-RJH"/>
        <w:rPr>
          <w:b/>
        </w:rPr>
      </w:pPr>
    </w:p>
    <w:p w14:paraId="13EB146B" w14:textId="77777777" w:rsidR="00ED691C" w:rsidRDefault="00ED691C" w:rsidP="00430A32">
      <w:pPr>
        <w:pStyle w:val="Brdtext-RJH"/>
        <w:rPr>
          <w:b/>
          <w:lang w:val="sv-SE"/>
        </w:rPr>
      </w:pPr>
    </w:p>
    <w:p w14:paraId="589C177A" w14:textId="77777777" w:rsidR="00ED691C" w:rsidRDefault="00ED691C" w:rsidP="00430A32">
      <w:pPr>
        <w:pStyle w:val="Brdtext-RJH"/>
        <w:rPr>
          <w:b/>
          <w:lang w:val="sv-SE"/>
        </w:rPr>
      </w:pPr>
    </w:p>
    <w:p w14:paraId="0FAC2067" w14:textId="77777777" w:rsidR="00ED691C" w:rsidRDefault="00ED691C" w:rsidP="00430A32">
      <w:pPr>
        <w:pStyle w:val="Brdtext-RJH"/>
        <w:rPr>
          <w:b/>
          <w:lang w:val="sv-SE"/>
        </w:rPr>
      </w:pPr>
    </w:p>
    <w:p w14:paraId="4DC3644A" w14:textId="773D8F37" w:rsidR="00430A32" w:rsidRPr="003C55AC" w:rsidRDefault="00430A32" w:rsidP="00430A32">
      <w:pPr>
        <w:pStyle w:val="Brdtext-RJH"/>
        <w:rPr>
          <w:b/>
          <w:lang w:val="sv-SE"/>
        </w:rPr>
      </w:pPr>
      <w:r w:rsidRPr="003C55AC">
        <w:rPr>
          <w:b/>
          <w:lang w:val="sv-SE"/>
        </w:rPr>
        <w:t>Ersättningsmodellen förklarande exempel</w:t>
      </w:r>
    </w:p>
    <w:p w14:paraId="5BEB3F8D" w14:textId="6BC72E34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>Uppföljningen ska stämma av andelen patienter som tagits hem inom ett dygn</w:t>
      </w:r>
      <w:r w:rsidR="00F70712">
        <w:rPr>
          <w:lang w:val="sv-SE"/>
        </w:rPr>
        <w:t xml:space="preserve"> enligt ovan</w:t>
      </w:r>
      <w:r w:rsidRPr="003C55AC">
        <w:rPr>
          <w:lang w:val="sv-SE"/>
        </w:rPr>
        <w:t>.</w:t>
      </w:r>
    </w:p>
    <w:p w14:paraId="6AF1E7CD" w14:textId="77777777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br/>
      </w:r>
      <w:r w:rsidRPr="003C55AC">
        <w:rPr>
          <w:b/>
          <w:lang w:val="sv-SE"/>
        </w:rPr>
        <w:t>Under januari</w:t>
      </w:r>
      <w:r w:rsidRPr="003C55AC">
        <w:rPr>
          <w:lang w:val="sv-SE"/>
        </w:rPr>
        <w:br/>
        <w:t>10 patienter går hem dag noll</w:t>
      </w:r>
      <w:r w:rsidRPr="003C55AC">
        <w:rPr>
          <w:lang w:val="sv-SE"/>
        </w:rPr>
        <w:br/>
        <w:t xml:space="preserve">10 patienter går hem dag ett </w:t>
      </w:r>
      <w:r w:rsidRPr="003C55AC">
        <w:rPr>
          <w:lang w:val="sv-SE"/>
        </w:rPr>
        <w:br/>
        <w:t>10 patienter blir kvar fler dagar</w:t>
      </w:r>
    </w:p>
    <w:p w14:paraId="5D568CAC" w14:textId="77777777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>Andel inom ett dygn (10+10=20) 20/30= 66%</w:t>
      </w:r>
    </w:p>
    <w:p w14:paraId="5C5F7D39" w14:textId="77777777" w:rsidR="00430A32" w:rsidRPr="003C55AC" w:rsidRDefault="00430A32" w:rsidP="00430A32">
      <w:pPr>
        <w:pStyle w:val="Brdtext-RJH"/>
        <w:rPr>
          <w:lang w:val="sv-SE"/>
        </w:rPr>
      </w:pPr>
    </w:p>
    <w:p w14:paraId="5653CC45" w14:textId="211D7674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 xml:space="preserve">Beräkning av </w:t>
      </w:r>
      <w:r w:rsidR="00F70712">
        <w:rPr>
          <w:lang w:val="sv-SE"/>
        </w:rPr>
        <w:t>bet</w:t>
      </w:r>
      <w:r w:rsidR="00773920">
        <w:rPr>
          <w:lang w:val="sv-SE"/>
        </w:rPr>
        <w:t>alningsansvar</w:t>
      </w:r>
      <w:r w:rsidRPr="003C55AC">
        <w:rPr>
          <w:lang w:val="sv-SE"/>
        </w:rPr>
        <w:t xml:space="preserve"> från kommunen till regionen ska alltså genomföras eftersom andelen är lägre än </w:t>
      </w:r>
      <w:r w:rsidR="00F70712">
        <w:rPr>
          <w:lang w:val="sv-SE"/>
        </w:rPr>
        <w:t>80</w:t>
      </w:r>
      <w:r w:rsidRPr="003C55AC">
        <w:rPr>
          <w:lang w:val="sv-SE"/>
        </w:rPr>
        <w:t>%.</w:t>
      </w:r>
    </w:p>
    <w:p w14:paraId="67D067BA" w14:textId="77777777" w:rsidR="00430A32" w:rsidRPr="003C55AC" w:rsidRDefault="00430A32" w:rsidP="00430A32">
      <w:pPr>
        <w:pStyle w:val="Brdtext-RJH"/>
        <w:rPr>
          <w:lang w:val="sv-SE"/>
        </w:rPr>
      </w:pPr>
    </w:p>
    <w:p w14:paraId="412843A8" w14:textId="77777777" w:rsidR="00430A32" w:rsidRPr="003C55AC" w:rsidRDefault="00430A32" w:rsidP="00430A32">
      <w:pPr>
        <w:pStyle w:val="Brdtext-RJH"/>
        <w:rPr>
          <w:b/>
          <w:lang w:val="sv-SE"/>
        </w:rPr>
      </w:pPr>
      <w:r w:rsidRPr="003C55AC">
        <w:rPr>
          <w:b/>
          <w:lang w:val="sv-SE"/>
        </w:rPr>
        <w:t>Under februari</w:t>
      </w:r>
    </w:p>
    <w:p w14:paraId="40B84BE3" w14:textId="31485EBE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>20 patienter går hem dag noll</w:t>
      </w:r>
      <w:r w:rsidRPr="003C55AC">
        <w:rPr>
          <w:lang w:val="sv-SE"/>
        </w:rPr>
        <w:br/>
      </w:r>
      <w:r w:rsidR="00F70712">
        <w:rPr>
          <w:lang w:val="sv-SE"/>
        </w:rPr>
        <w:t>5</w:t>
      </w:r>
      <w:r w:rsidRPr="003C55AC">
        <w:rPr>
          <w:lang w:val="sv-SE"/>
        </w:rPr>
        <w:t xml:space="preserve"> patienter går hem dag ett </w:t>
      </w:r>
      <w:r w:rsidRPr="003C55AC">
        <w:rPr>
          <w:lang w:val="sv-SE"/>
        </w:rPr>
        <w:br/>
      </w:r>
      <w:r w:rsidR="00F70712">
        <w:rPr>
          <w:lang w:val="sv-SE"/>
        </w:rPr>
        <w:t>5</w:t>
      </w:r>
      <w:r w:rsidRPr="003C55AC">
        <w:rPr>
          <w:lang w:val="sv-SE"/>
        </w:rPr>
        <w:t xml:space="preserve"> patienter blir kvar fler dagar</w:t>
      </w:r>
    </w:p>
    <w:p w14:paraId="794424B8" w14:textId="4E571741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>Andel inom ett dygn (20+</w:t>
      </w:r>
      <w:r w:rsidR="00F70712">
        <w:rPr>
          <w:lang w:val="sv-SE"/>
        </w:rPr>
        <w:t>5</w:t>
      </w:r>
      <w:r w:rsidRPr="003C55AC">
        <w:rPr>
          <w:lang w:val="sv-SE"/>
        </w:rPr>
        <w:t>=</w:t>
      </w:r>
      <w:r w:rsidR="00F70712">
        <w:rPr>
          <w:lang w:val="sv-SE"/>
        </w:rPr>
        <w:t>25</w:t>
      </w:r>
      <w:r w:rsidR="00746435" w:rsidRPr="003C55AC">
        <w:rPr>
          <w:lang w:val="sv-SE"/>
        </w:rPr>
        <w:t xml:space="preserve">) </w:t>
      </w:r>
      <w:r w:rsidR="00F70712">
        <w:rPr>
          <w:lang w:val="sv-SE"/>
        </w:rPr>
        <w:t>25</w:t>
      </w:r>
      <w:r w:rsidRPr="003C55AC">
        <w:rPr>
          <w:lang w:val="sv-SE"/>
        </w:rPr>
        <w:t>/</w:t>
      </w:r>
      <w:r w:rsidR="00F70712">
        <w:rPr>
          <w:lang w:val="sv-SE"/>
        </w:rPr>
        <w:t>3</w:t>
      </w:r>
      <w:r w:rsidRPr="003C55AC">
        <w:rPr>
          <w:lang w:val="sv-SE"/>
        </w:rPr>
        <w:t xml:space="preserve">0= </w:t>
      </w:r>
      <w:r w:rsidR="00F70712">
        <w:rPr>
          <w:lang w:val="sv-SE"/>
        </w:rPr>
        <w:t>83</w:t>
      </w:r>
      <w:r w:rsidRPr="003C55AC">
        <w:rPr>
          <w:lang w:val="sv-SE"/>
        </w:rPr>
        <w:t>%</w:t>
      </w:r>
    </w:p>
    <w:p w14:paraId="46419E34" w14:textId="77777777" w:rsidR="00430A32" w:rsidRPr="003C55AC" w:rsidRDefault="00430A32" w:rsidP="00430A32">
      <w:pPr>
        <w:pStyle w:val="Brdtext-RJH"/>
        <w:rPr>
          <w:lang w:val="sv-SE"/>
        </w:rPr>
      </w:pPr>
    </w:p>
    <w:p w14:paraId="5E5F185D" w14:textId="1812076C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 xml:space="preserve">Betalningsansvarsfrihet inträder då andelen är </w:t>
      </w:r>
      <w:r w:rsidR="00F70712">
        <w:rPr>
          <w:lang w:val="sv-SE"/>
        </w:rPr>
        <w:t>80</w:t>
      </w:r>
      <w:r w:rsidRPr="003C55AC">
        <w:rPr>
          <w:lang w:val="sv-SE"/>
        </w:rPr>
        <w:t>% eller högre.</w:t>
      </w:r>
    </w:p>
    <w:p w14:paraId="0136A213" w14:textId="518AEA5F" w:rsidR="00430A32" w:rsidRPr="003C55AC" w:rsidRDefault="00430A32" w:rsidP="00430A32">
      <w:pPr>
        <w:pStyle w:val="Brdtext-RJH"/>
        <w:rPr>
          <w:lang w:val="sv-SE"/>
        </w:rPr>
      </w:pPr>
      <w:r w:rsidRPr="003C55AC">
        <w:rPr>
          <w:lang w:val="sv-SE"/>
        </w:rPr>
        <w:t xml:space="preserve">Beräkning av </w:t>
      </w:r>
      <w:r w:rsidR="00F70712">
        <w:rPr>
          <w:lang w:val="sv-SE"/>
        </w:rPr>
        <w:t>betalningsansvar</w:t>
      </w:r>
      <w:r w:rsidRPr="003C55AC">
        <w:rPr>
          <w:lang w:val="sv-SE"/>
        </w:rPr>
        <w:t xml:space="preserve"> från kommunen till regionen ska genomföras </w:t>
      </w:r>
      <w:r w:rsidR="00F70712">
        <w:rPr>
          <w:lang w:val="sv-SE"/>
        </w:rPr>
        <w:t xml:space="preserve">enbart </w:t>
      </w:r>
      <w:r w:rsidRPr="003C55AC">
        <w:rPr>
          <w:lang w:val="sv-SE"/>
        </w:rPr>
        <w:t xml:space="preserve">för de patienter som legat kvar </w:t>
      </w:r>
      <w:r w:rsidR="00F70712">
        <w:rPr>
          <w:lang w:val="sv-SE"/>
        </w:rPr>
        <w:t>längre</w:t>
      </w:r>
      <w:r w:rsidRPr="003C55AC">
        <w:rPr>
          <w:lang w:val="sv-SE"/>
        </w:rPr>
        <w:t xml:space="preserve"> än </w:t>
      </w:r>
      <w:r w:rsidR="00F70712">
        <w:rPr>
          <w:lang w:val="sv-SE"/>
        </w:rPr>
        <w:t>7</w:t>
      </w:r>
      <w:r w:rsidRPr="003C55AC">
        <w:rPr>
          <w:lang w:val="sv-SE"/>
        </w:rPr>
        <w:t xml:space="preserve"> dygn.</w:t>
      </w:r>
    </w:p>
    <w:p w14:paraId="27F450CD" w14:textId="77777777" w:rsidR="00430A32" w:rsidRPr="003C55AC" w:rsidRDefault="00430A32" w:rsidP="00430A32">
      <w:pPr>
        <w:pStyle w:val="Brdtext-RJH"/>
        <w:rPr>
          <w:lang w:val="sv-SE"/>
        </w:rPr>
      </w:pPr>
    </w:p>
    <w:p w14:paraId="5C767706" w14:textId="77777777" w:rsidR="00430A32" w:rsidRPr="003C55AC" w:rsidRDefault="00430A32" w:rsidP="00430A32">
      <w:pPr>
        <w:pStyle w:val="Brdtext-RJH"/>
        <w:rPr>
          <w:b/>
          <w:lang w:val="sv-SE"/>
        </w:rPr>
      </w:pPr>
      <w:r w:rsidRPr="003C55AC">
        <w:rPr>
          <w:b/>
          <w:lang w:val="sv-SE"/>
        </w:rPr>
        <w:t>Beräkning av ersättning</w:t>
      </w:r>
    </w:p>
    <w:p w14:paraId="47C10549" w14:textId="77777777" w:rsidR="00430A32" w:rsidRDefault="00430A32" w:rsidP="00430A32">
      <w:pPr>
        <w:pStyle w:val="Brdtext-RJH"/>
        <w:numPr>
          <w:ilvl w:val="0"/>
          <w:numId w:val="43"/>
        </w:numPr>
        <w:rPr>
          <w:lang w:val="sv-SE"/>
        </w:rPr>
      </w:pPr>
      <w:r w:rsidRPr="003C55AC">
        <w:rPr>
          <w:lang w:val="sv-SE"/>
        </w:rPr>
        <w:t xml:space="preserve">Parterna analyserar gemensamt rådata för att klargöra vilka poster som ska omfattas av betalningsansvar. </w:t>
      </w:r>
    </w:p>
    <w:p w14:paraId="52F48EC5" w14:textId="54068473" w:rsidR="00430A32" w:rsidRPr="00104E58" w:rsidRDefault="00430A32" w:rsidP="00430A32">
      <w:pPr>
        <w:pStyle w:val="Brdtext-RJH"/>
        <w:numPr>
          <w:ilvl w:val="0"/>
          <w:numId w:val="43"/>
        </w:numPr>
        <w:rPr>
          <w:lang w:val="sv-SE"/>
        </w:rPr>
      </w:pPr>
      <w:r w:rsidRPr="00104E58">
        <w:rPr>
          <w:lang w:val="sv-SE"/>
        </w:rPr>
        <w:t>Kommunerna debiteras med den summa per dygn som Socialstyrelsen fastställer. Den ekonomiska regleringen hanteras kommunvis.</w:t>
      </w:r>
    </w:p>
    <w:p w14:paraId="336A671D" w14:textId="12255599" w:rsidR="00702CCA" w:rsidRDefault="007D0574" w:rsidP="007D0574">
      <w:pPr>
        <w:pStyle w:val="Rubrik2"/>
      </w:pPr>
      <w:r w:rsidRPr="007D0574">
        <w:t>Avtalstid</w:t>
      </w:r>
      <w:r>
        <w:t xml:space="preserve"> och utvärdering</w:t>
      </w:r>
    </w:p>
    <w:p w14:paraId="6A35BCE7" w14:textId="7628730B" w:rsidR="007D0574" w:rsidRPr="000E648B" w:rsidRDefault="007D0574" w:rsidP="000E648B">
      <w:pPr>
        <w:pStyle w:val="Brdtext-RJH"/>
        <w:rPr>
          <w:lang w:val="sv-SE"/>
        </w:rPr>
      </w:pPr>
      <w:r w:rsidRPr="000E648B">
        <w:rPr>
          <w:lang w:val="sv-SE"/>
        </w:rPr>
        <w:t>Avtalet gäller retroaktivt från 2019</w:t>
      </w:r>
      <w:r w:rsidR="000E648B">
        <w:rPr>
          <w:lang w:val="sv-SE"/>
        </w:rPr>
        <w:t>-</w:t>
      </w:r>
      <w:r w:rsidRPr="000E648B">
        <w:rPr>
          <w:lang w:val="sv-SE"/>
        </w:rPr>
        <w:t>01</w:t>
      </w:r>
      <w:r w:rsidR="000E648B">
        <w:rPr>
          <w:lang w:val="sv-SE"/>
        </w:rPr>
        <w:t>-</w:t>
      </w:r>
      <w:r w:rsidRPr="000E648B">
        <w:rPr>
          <w:lang w:val="sv-SE"/>
        </w:rPr>
        <w:t>01 och längst till 2019</w:t>
      </w:r>
      <w:r w:rsidR="000E648B">
        <w:rPr>
          <w:lang w:val="sv-SE"/>
        </w:rPr>
        <w:t>-</w:t>
      </w:r>
      <w:r w:rsidRPr="000E648B">
        <w:rPr>
          <w:lang w:val="sv-SE"/>
        </w:rPr>
        <w:t>12</w:t>
      </w:r>
      <w:r w:rsidR="000E648B">
        <w:rPr>
          <w:lang w:val="sv-SE"/>
        </w:rPr>
        <w:t>-</w:t>
      </w:r>
      <w:r w:rsidRPr="000E648B">
        <w:rPr>
          <w:lang w:val="sv-SE"/>
        </w:rPr>
        <w:t xml:space="preserve">31. </w:t>
      </w:r>
    </w:p>
    <w:p w14:paraId="7BEBA020" w14:textId="196AE65C" w:rsidR="007D0574" w:rsidRPr="000E648B" w:rsidRDefault="007D0574" w:rsidP="000E648B">
      <w:pPr>
        <w:pStyle w:val="Brdtext-RJH"/>
        <w:rPr>
          <w:lang w:val="sv-SE"/>
        </w:rPr>
      </w:pPr>
    </w:p>
    <w:p w14:paraId="35141F47" w14:textId="34F61340" w:rsidR="007D0574" w:rsidRPr="000E648B" w:rsidRDefault="007D0574" w:rsidP="000E648B">
      <w:pPr>
        <w:pStyle w:val="Brdtext-RJH"/>
        <w:rPr>
          <w:lang w:val="sv-SE"/>
        </w:rPr>
      </w:pPr>
      <w:r w:rsidRPr="000E648B">
        <w:rPr>
          <w:lang w:val="sv-SE"/>
        </w:rPr>
        <w:t xml:space="preserve">En utvärdering av ekonomiska och verksamhetsmässiga konsekvenser ska göras efter 20190630 och senast under september ska ställning tas till om </w:t>
      </w:r>
      <w:r w:rsidR="002F2C70">
        <w:rPr>
          <w:lang w:val="sv-SE"/>
        </w:rPr>
        <w:t>eventuella förändringar/justeringar behöver göras för att uppnå det parterna avtalat om.</w:t>
      </w:r>
      <w:r w:rsidR="00CC5108">
        <w:rPr>
          <w:lang w:val="sv-SE"/>
        </w:rPr>
        <w:t xml:space="preserve"> </w:t>
      </w:r>
    </w:p>
    <w:p w14:paraId="6624B486" w14:textId="292E68B3" w:rsidR="00BE683C" w:rsidRDefault="00BE683C" w:rsidP="007D0574"/>
    <w:p w14:paraId="63CE1623" w14:textId="77777777" w:rsidR="00ED691C" w:rsidRDefault="00ED691C" w:rsidP="00BE683C">
      <w:pPr>
        <w:pStyle w:val="Brdtext"/>
        <w:rPr>
          <w:b/>
        </w:rPr>
      </w:pPr>
    </w:p>
    <w:p w14:paraId="0FA23C9F" w14:textId="77777777" w:rsidR="00ED691C" w:rsidRDefault="00ED691C" w:rsidP="00BE683C">
      <w:pPr>
        <w:pStyle w:val="Brdtext"/>
        <w:rPr>
          <w:b/>
        </w:rPr>
      </w:pPr>
    </w:p>
    <w:p w14:paraId="780237F6" w14:textId="743425FC" w:rsidR="00BE683C" w:rsidRDefault="00BE683C" w:rsidP="00BE683C">
      <w:pPr>
        <w:pStyle w:val="Brdtext"/>
      </w:pPr>
      <w:r>
        <w:rPr>
          <w:b/>
        </w:rPr>
        <w:t xml:space="preserve">För Bergs kommun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För Bräcke kommun </w:t>
      </w:r>
      <w:r>
        <w:t>Datum…………………………….</w:t>
      </w:r>
      <w:r>
        <w:tab/>
      </w:r>
      <w:r>
        <w:tab/>
        <w:t>Datum…………………………..</w:t>
      </w:r>
    </w:p>
    <w:p w14:paraId="0829D93F" w14:textId="77777777" w:rsidR="00BE683C" w:rsidRDefault="00BE683C" w:rsidP="00BE683C">
      <w:pPr>
        <w:pStyle w:val="Brdtext"/>
      </w:pPr>
    </w:p>
    <w:p w14:paraId="4880098C" w14:textId="77777777" w:rsidR="00BE683C" w:rsidRDefault="00BE683C" w:rsidP="00BE683C">
      <w:pPr>
        <w:pStyle w:val="Brdtext"/>
      </w:pPr>
      <w:r>
        <w:lastRenderedPageBreak/>
        <w:t>Namn</w:t>
      </w:r>
      <w:r>
        <w:tab/>
      </w:r>
      <w:r>
        <w:tab/>
      </w:r>
      <w:r>
        <w:tab/>
      </w:r>
      <w:r>
        <w:tab/>
      </w:r>
      <w:proofErr w:type="spellStart"/>
      <w:r>
        <w:t>Namn</w:t>
      </w:r>
      <w:proofErr w:type="spellEnd"/>
      <w:r>
        <w:t xml:space="preserve"> </w:t>
      </w:r>
      <w:r>
        <w:br/>
        <w:t>Titel</w:t>
      </w:r>
      <w:r>
        <w:tab/>
      </w:r>
      <w:r>
        <w:tab/>
      </w:r>
      <w:r>
        <w:tab/>
      </w:r>
      <w:r>
        <w:tab/>
      </w:r>
      <w:proofErr w:type="spellStart"/>
      <w:r>
        <w:t>Titel</w:t>
      </w:r>
      <w:proofErr w:type="spellEnd"/>
    </w:p>
    <w:p w14:paraId="72FB1A85" w14:textId="77777777" w:rsidR="00BE683C" w:rsidRDefault="00BE683C" w:rsidP="00BE683C">
      <w:pPr>
        <w:pStyle w:val="Brdtext"/>
        <w:rPr>
          <w:b/>
        </w:rPr>
      </w:pPr>
    </w:p>
    <w:p w14:paraId="26355847" w14:textId="77777777" w:rsidR="00BE683C" w:rsidRDefault="00BE683C" w:rsidP="00BE683C">
      <w:pPr>
        <w:pStyle w:val="Brdtext"/>
      </w:pPr>
      <w:r>
        <w:rPr>
          <w:b/>
        </w:rPr>
        <w:t xml:space="preserve">För Härjedalens kommun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För Krokoms kommun </w:t>
      </w:r>
      <w:r>
        <w:t>Datum…………………………….</w:t>
      </w:r>
      <w:r>
        <w:tab/>
      </w:r>
      <w:r>
        <w:tab/>
        <w:t>Datum…………………………..</w:t>
      </w:r>
    </w:p>
    <w:p w14:paraId="67886E49" w14:textId="77777777" w:rsidR="00BE683C" w:rsidRDefault="00BE683C" w:rsidP="00BE683C">
      <w:pPr>
        <w:pStyle w:val="Brdtext"/>
      </w:pPr>
    </w:p>
    <w:p w14:paraId="77FBE632" w14:textId="77777777" w:rsidR="00BE683C" w:rsidRDefault="00BE683C" w:rsidP="00BE683C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proofErr w:type="spellStart"/>
      <w:r>
        <w:t>Namn</w:t>
      </w:r>
      <w:proofErr w:type="spellEnd"/>
      <w:r>
        <w:br/>
        <w:t>Titel</w:t>
      </w:r>
      <w:r>
        <w:tab/>
      </w:r>
      <w:r>
        <w:tab/>
      </w:r>
      <w:r>
        <w:tab/>
      </w:r>
      <w:r>
        <w:tab/>
      </w:r>
      <w:proofErr w:type="spellStart"/>
      <w:r>
        <w:t>Titel</w:t>
      </w:r>
      <w:proofErr w:type="spellEnd"/>
    </w:p>
    <w:p w14:paraId="15BAF9C9" w14:textId="77777777" w:rsidR="00BE683C" w:rsidRDefault="00BE683C" w:rsidP="00BE683C">
      <w:pPr>
        <w:pStyle w:val="Brdtext"/>
        <w:rPr>
          <w:b/>
        </w:rPr>
      </w:pPr>
    </w:p>
    <w:p w14:paraId="410D63F8" w14:textId="77777777" w:rsidR="00BE683C" w:rsidRDefault="00BE683C" w:rsidP="00BE683C">
      <w:pPr>
        <w:pStyle w:val="Brdtext"/>
      </w:pPr>
      <w:r>
        <w:rPr>
          <w:b/>
        </w:rPr>
        <w:t xml:space="preserve">För Ragunda kommun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För Strömsunds kommun </w:t>
      </w:r>
      <w:r>
        <w:t>Datum…………………………….</w:t>
      </w:r>
      <w:r>
        <w:tab/>
      </w:r>
      <w:r>
        <w:tab/>
        <w:t>Datum…………………………..</w:t>
      </w:r>
    </w:p>
    <w:p w14:paraId="39C0F3AA" w14:textId="77777777" w:rsidR="00BE683C" w:rsidRDefault="00BE683C" w:rsidP="00BE683C">
      <w:pPr>
        <w:pStyle w:val="Brdtext"/>
      </w:pPr>
    </w:p>
    <w:p w14:paraId="3A50A10B" w14:textId="77777777" w:rsidR="00BE683C" w:rsidRDefault="00BE683C" w:rsidP="00BE683C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proofErr w:type="spellStart"/>
      <w:r>
        <w:t>Namn</w:t>
      </w:r>
      <w:proofErr w:type="spellEnd"/>
      <w:r>
        <w:br/>
        <w:t>Titel</w:t>
      </w:r>
      <w:r>
        <w:tab/>
      </w:r>
      <w:r>
        <w:tab/>
      </w:r>
      <w:r>
        <w:tab/>
      </w:r>
      <w:r>
        <w:tab/>
      </w:r>
      <w:proofErr w:type="spellStart"/>
      <w:r>
        <w:t>Titel</w:t>
      </w:r>
      <w:proofErr w:type="spellEnd"/>
    </w:p>
    <w:p w14:paraId="423EE622" w14:textId="77777777" w:rsidR="00BE683C" w:rsidRDefault="00BE683C" w:rsidP="00BE683C">
      <w:pPr>
        <w:pStyle w:val="Brdtext"/>
        <w:rPr>
          <w:b/>
        </w:rPr>
      </w:pPr>
    </w:p>
    <w:p w14:paraId="020F769B" w14:textId="77777777" w:rsidR="00BE683C" w:rsidRDefault="00BE683C" w:rsidP="00BE683C">
      <w:pPr>
        <w:pStyle w:val="Brdtext"/>
      </w:pPr>
      <w:r>
        <w:rPr>
          <w:b/>
        </w:rPr>
        <w:t xml:space="preserve">För Åre kommun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För Östersunds kommun </w:t>
      </w:r>
      <w:r>
        <w:t>Datum…………………………….</w:t>
      </w:r>
      <w:r>
        <w:tab/>
      </w:r>
      <w:r>
        <w:tab/>
        <w:t>Datum…………………………..</w:t>
      </w:r>
    </w:p>
    <w:p w14:paraId="2645BA07" w14:textId="77777777" w:rsidR="00BE683C" w:rsidRDefault="00BE683C" w:rsidP="00BE683C">
      <w:pPr>
        <w:pStyle w:val="Brdtext"/>
      </w:pPr>
    </w:p>
    <w:p w14:paraId="5BFE6E58" w14:textId="77777777" w:rsidR="00BE683C" w:rsidRDefault="00BE683C" w:rsidP="00BE683C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proofErr w:type="spellStart"/>
      <w:r>
        <w:t>Namn</w:t>
      </w:r>
      <w:proofErr w:type="spellEnd"/>
      <w:r>
        <w:br/>
        <w:t>Titel</w:t>
      </w:r>
      <w:r>
        <w:tab/>
      </w:r>
      <w:r>
        <w:tab/>
      </w:r>
      <w:r>
        <w:tab/>
      </w:r>
      <w:r>
        <w:tab/>
      </w:r>
      <w:proofErr w:type="spellStart"/>
      <w:r>
        <w:t>Titel</w:t>
      </w:r>
      <w:proofErr w:type="spellEnd"/>
    </w:p>
    <w:p w14:paraId="64687C4A" w14:textId="17751560" w:rsidR="00BE683C" w:rsidRDefault="00BE683C" w:rsidP="007D0574"/>
    <w:p w14:paraId="33432625" w14:textId="77777777" w:rsidR="00ED691C" w:rsidRDefault="00ED691C" w:rsidP="00ED691C">
      <w:pPr>
        <w:pStyle w:val="Brdtext"/>
        <w:rPr>
          <w:b/>
        </w:rPr>
      </w:pPr>
    </w:p>
    <w:p w14:paraId="56F2F531" w14:textId="77777777" w:rsidR="00ED691C" w:rsidRDefault="00ED691C" w:rsidP="00ED691C">
      <w:pPr>
        <w:pStyle w:val="Brdtext"/>
        <w:rPr>
          <w:b/>
        </w:rPr>
      </w:pPr>
    </w:p>
    <w:p w14:paraId="54FC61FE" w14:textId="321B28A4" w:rsidR="00ED691C" w:rsidRDefault="00ED691C" w:rsidP="00ED691C">
      <w:pPr>
        <w:pStyle w:val="Brdtext"/>
        <w:rPr>
          <w:b/>
        </w:rPr>
      </w:pPr>
      <w:r>
        <w:rPr>
          <w:b/>
        </w:rPr>
        <w:t xml:space="preserve">För Region Jämtland Härjedalen </w:t>
      </w:r>
      <w:r>
        <w:rPr>
          <w:b/>
        </w:rPr>
        <w:tab/>
      </w:r>
      <w:r>
        <w:rPr>
          <w:b/>
        </w:rPr>
        <w:tab/>
      </w:r>
    </w:p>
    <w:p w14:paraId="7DA79A5A" w14:textId="71482BD5" w:rsidR="00ED691C" w:rsidRDefault="00ED691C" w:rsidP="00ED691C">
      <w:pPr>
        <w:pStyle w:val="Brdtext"/>
      </w:pPr>
      <w:r>
        <w:t>Datum…………………………….</w:t>
      </w:r>
      <w:r>
        <w:tab/>
      </w:r>
      <w:r>
        <w:tab/>
      </w:r>
    </w:p>
    <w:p w14:paraId="21D96B74" w14:textId="77777777" w:rsidR="00ED691C" w:rsidRDefault="00ED691C" w:rsidP="00ED691C">
      <w:pPr>
        <w:pStyle w:val="Brdtext"/>
      </w:pPr>
    </w:p>
    <w:p w14:paraId="2CFC0540" w14:textId="0C064546" w:rsidR="00ED691C" w:rsidRDefault="00ED691C" w:rsidP="00ED691C">
      <w:pPr>
        <w:pStyle w:val="Brdtext"/>
      </w:pPr>
      <w:r>
        <w:t>Namn</w:t>
      </w:r>
      <w:r>
        <w:tab/>
      </w:r>
      <w:r>
        <w:tab/>
      </w:r>
      <w:r>
        <w:tab/>
      </w:r>
      <w:r>
        <w:tab/>
      </w:r>
      <w:r>
        <w:br/>
        <w:t>Titel</w:t>
      </w:r>
      <w:r>
        <w:tab/>
      </w:r>
      <w:r>
        <w:tab/>
      </w:r>
      <w:r>
        <w:tab/>
      </w:r>
      <w:r>
        <w:tab/>
      </w:r>
    </w:p>
    <w:p w14:paraId="1DE9CF96" w14:textId="77777777" w:rsidR="00760717" w:rsidRDefault="00760717" w:rsidP="007D0574"/>
    <w:p w14:paraId="3F8E87E8" w14:textId="77777777" w:rsidR="00760717" w:rsidRDefault="00760717" w:rsidP="007D0574"/>
    <w:p w14:paraId="65E381C0" w14:textId="77777777" w:rsidR="00760717" w:rsidRDefault="00760717" w:rsidP="007D0574"/>
    <w:p w14:paraId="1D20DB01" w14:textId="0518DA2B" w:rsidR="00760717" w:rsidRPr="007D0574" w:rsidRDefault="00760717" w:rsidP="00760717"/>
    <w:sectPr w:rsidR="00760717" w:rsidRPr="007D0574" w:rsidSect="00ED691C">
      <w:headerReference w:type="default" r:id="rId12"/>
      <w:headerReference w:type="first" r:id="rId13"/>
      <w:type w:val="continuous"/>
      <w:pgSz w:w="11906" w:h="16838"/>
      <w:pgMar w:top="851" w:right="1871" w:bottom="993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725EC" w14:textId="77777777" w:rsidR="00EA1A05" w:rsidRDefault="00EA1A05" w:rsidP="00E47EFD">
      <w:r>
        <w:separator/>
      </w:r>
    </w:p>
  </w:endnote>
  <w:endnote w:type="continuationSeparator" w:id="0">
    <w:p w14:paraId="423747C8" w14:textId="77777777" w:rsidR="00EA1A05" w:rsidRDefault="00EA1A05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4C7E" w14:textId="77777777" w:rsidR="00EA1A05" w:rsidRDefault="00EA1A05" w:rsidP="00E47EFD">
      <w:r>
        <w:separator/>
      </w:r>
    </w:p>
  </w:footnote>
  <w:footnote w:type="continuationSeparator" w:id="0">
    <w:p w14:paraId="1945D8DE" w14:textId="77777777" w:rsidR="00EA1A05" w:rsidRDefault="00EA1A05" w:rsidP="00E47EFD">
      <w:r>
        <w:continuationSeparator/>
      </w:r>
    </w:p>
  </w:footnote>
  <w:footnote w:id="1">
    <w:p w14:paraId="14682CF5" w14:textId="0FE6ECA6" w:rsidR="007E2003" w:rsidRPr="00FA2B7E" w:rsidRDefault="007E2003">
      <w:pPr>
        <w:pStyle w:val="Fotnotstext"/>
        <w:rPr>
          <w:sz w:val="16"/>
        </w:rPr>
      </w:pPr>
      <w:r w:rsidRPr="00FA2B7E">
        <w:rPr>
          <w:rStyle w:val="Fotnotsreferens"/>
          <w:sz w:val="16"/>
        </w:rPr>
        <w:footnoteRef/>
      </w:r>
      <w:r w:rsidRPr="00FA2B7E">
        <w:rPr>
          <w:sz w:val="16"/>
        </w:rPr>
        <w:t xml:space="preserve"> Lagen om samverkan vid utskrivning från slutenvård 2017:612, </w:t>
      </w:r>
      <w:r>
        <w:rPr>
          <w:sz w:val="16"/>
        </w:rPr>
        <w:t xml:space="preserve">tidigare </w:t>
      </w:r>
      <w:r w:rsidRPr="00FA2B7E">
        <w:rPr>
          <w:sz w:val="16"/>
        </w:rPr>
        <w:t>kallad ”LOSUS”</w:t>
      </w:r>
    </w:p>
  </w:footnote>
  <w:footnote w:id="2">
    <w:p w14:paraId="7B91801A" w14:textId="3454624B" w:rsidR="007E2003" w:rsidRPr="00FA2B7E" w:rsidRDefault="007E2003">
      <w:pPr>
        <w:pStyle w:val="Fotnotstext"/>
        <w:rPr>
          <w:sz w:val="16"/>
        </w:rPr>
      </w:pPr>
      <w:r w:rsidRPr="00FA2B7E">
        <w:rPr>
          <w:rStyle w:val="Fotnotsreferens"/>
          <w:sz w:val="16"/>
        </w:rPr>
        <w:footnoteRef/>
      </w:r>
      <w:r w:rsidRPr="00FA2B7E">
        <w:rPr>
          <w:sz w:val="16"/>
        </w:rPr>
        <w:t xml:space="preserve"> Lagen om kommunernas betalningsansvar för viss hälso- och sjukvård 1990:1404, </w:t>
      </w:r>
      <w:r w:rsidR="005E0125">
        <w:rPr>
          <w:sz w:val="16"/>
        </w:rPr>
        <w:t>tidigare</w:t>
      </w:r>
      <w:r w:rsidR="005E0125" w:rsidRPr="00FA2B7E">
        <w:rPr>
          <w:sz w:val="16"/>
        </w:rPr>
        <w:t xml:space="preserve"> </w:t>
      </w:r>
      <w:r w:rsidRPr="00FA2B7E">
        <w:rPr>
          <w:sz w:val="16"/>
        </w:rPr>
        <w:t>kallad ”Betalningsansvarslagen”</w:t>
      </w:r>
    </w:p>
  </w:footnote>
  <w:footnote w:id="3">
    <w:p w14:paraId="209DEE15" w14:textId="43DAA7FE" w:rsidR="007E2003" w:rsidRDefault="007E200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C23F3">
        <w:rPr>
          <w:sz w:val="16"/>
        </w:rPr>
        <w:t>Nödvändiga hjälpmedel är för att personen ska klara förflyttning inomhus och toalettbesök de första 5 dagarna.</w:t>
      </w:r>
    </w:p>
  </w:footnote>
  <w:footnote w:id="4">
    <w:p w14:paraId="217B1708" w14:textId="03AD0678" w:rsidR="00F24DE2" w:rsidRDefault="00F24DE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24DE2">
        <w:rPr>
          <w:sz w:val="16"/>
          <w:szCs w:val="16"/>
        </w:rPr>
        <w:t xml:space="preserve">Det innebär att personen kan ordna det själv, via närstående eller </w:t>
      </w:r>
      <w:r>
        <w:rPr>
          <w:sz w:val="16"/>
          <w:szCs w:val="16"/>
        </w:rPr>
        <w:t xml:space="preserve">via </w:t>
      </w:r>
      <w:r w:rsidRPr="00F24DE2">
        <w:rPr>
          <w:sz w:val="16"/>
          <w:szCs w:val="16"/>
        </w:rPr>
        <w:t>personal</w:t>
      </w:r>
      <w:r>
        <w:rPr>
          <w:sz w:val="16"/>
          <w:szCs w:val="16"/>
        </w:rPr>
        <w:t xml:space="preserve"> i slutenvården.</w:t>
      </w:r>
    </w:p>
  </w:footnote>
  <w:footnote w:id="5">
    <w:p w14:paraId="17EC6221" w14:textId="74521706" w:rsidR="007E2003" w:rsidRDefault="007E2003" w:rsidP="00AE3928">
      <w:r>
        <w:rPr>
          <w:rStyle w:val="Fotnotsreferens"/>
        </w:rPr>
        <w:footnoteRef/>
      </w:r>
      <w:r>
        <w:t xml:space="preserve"> </w:t>
      </w:r>
      <w:r w:rsidR="006D2175">
        <w:t>E</w:t>
      </w:r>
      <w:r w:rsidRPr="00AE3928">
        <w:rPr>
          <w:rFonts w:asciiTheme="minorHAnsi" w:hAnsiTheme="minorHAnsi"/>
          <w:sz w:val="16"/>
          <w:szCs w:val="20"/>
        </w:rPr>
        <w:t>nligt 7a § lag (1991:1128) om psykiatrisk tvångsvård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5074" w14:textId="52651E66" w:rsidR="007E2003" w:rsidRPr="00AB5EA8" w:rsidRDefault="007E2003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396E0583" wp14:editId="4B229C5B">
          <wp:simplePos x="0" y="0"/>
          <wp:positionH relativeFrom="page">
            <wp:posOffset>4819650</wp:posOffset>
          </wp:positionH>
          <wp:positionV relativeFrom="topMargin">
            <wp:posOffset>608399</wp:posOffset>
          </wp:positionV>
          <wp:extent cx="1438455" cy="552450"/>
          <wp:effectExtent l="0" t="0" r="0" b="0"/>
          <wp:wrapNone/>
          <wp:docPr id="53" name="Bildobjekt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5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0BC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554055F" wp14:editId="7D61FB6D">
          <wp:simplePos x="0" y="0"/>
          <wp:positionH relativeFrom="column">
            <wp:posOffset>-681355</wp:posOffset>
          </wp:positionH>
          <wp:positionV relativeFrom="paragraph">
            <wp:posOffset>-5715</wp:posOffset>
          </wp:positionV>
          <wp:extent cx="4173855" cy="1268730"/>
          <wp:effectExtent l="0" t="0" r="0" b="7620"/>
          <wp:wrapSquare wrapText="bothSides"/>
          <wp:docPr id="54" name="Bildobjekt 54" descr="\\larven\Home$\suzgor\Documents\2014 REGIONAL UTV grp\Handlingsplan inkl. kommentarer från ko.la\Skärmavbild 2015-02-24 kl. 15.29.5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rven\Home$\suzgor\Documents\2014 REGIONAL UTV grp\Handlingsplan inkl. kommentarer från ko.la\Skärmavbild 2015-02-24 kl. 15.29.5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85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4D4D4D"/>
        <w:lang w:eastAsia="sv-SE"/>
      </w:rPr>
      <w:drawing>
        <wp:inline distT="0" distB="0" distL="0" distR="0" wp14:anchorId="7295480A" wp14:editId="5E8FD9EE">
          <wp:extent cx="4176395" cy="1268095"/>
          <wp:effectExtent l="0" t="0" r="0" b="8255"/>
          <wp:docPr id="55" name="Bildobjekt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D4D4D"/>
      </w:rPr>
      <w:t xml:space="preserve"> </w:t>
    </w: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>
      <w:rPr>
        <w:noProof/>
        <w:color w:val="4D4D4D"/>
      </w:rPr>
      <w:t>3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>
      <w:rPr>
        <w:noProof/>
        <w:color w:val="4D4D4D"/>
      </w:rPr>
      <w:fldChar w:fldCharType="begin"/>
    </w:r>
    <w:r>
      <w:rPr>
        <w:noProof/>
        <w:color w:val="4D4D4D"/>
      </w:rPr>
      <w:instrText xml:space="preserve"> NUMPAGES  \* Arabic  \* MERGEFORMAT </w:instrText>
    </w:r>
    <w:r>
      <w:rPr>
        <w:noProof/>
        <w:color w:val="4D4D4D"/>
      </w:rPr>
      <w:fldChar w:fldCharType="separate"/>
    </w:r>
    <w:r w:rsidRPr="00150894">
      <w:rPr>
        <w:noProof/>
        <w:color w:val="4D4D4D"/>
      </w:rPr>
      <w:t>6</w:t>
    </w:r>
    <w:r>
      <w:rPr>
        <w:noProof/>
        <w:color w:val="4D4D4D"/>
      </w:rPr>
      <w:fldChar w:fldCharType="end"/>
    </w:r>
    <w:r w:rsidRPr="004D1A60">
      <w:rPr>
        <w:color w:val="4D4D4D"/>
      </w:rPr>
      <w:t>)</w:t>
    </w:r>
    <w:r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DB61" w14:textId="77777777" w:rsidR="007E2003" w:rsidRDefault="007E2003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52A6BBFF" wp14:editId="618708C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56" name="Bild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948E4"/>
    <w:multiLevelType w:val="hybridMultilevel"/>
    <w:tmpl w:val="3C4CADD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BE52C1"/>
    <w:multiLevelType w:val="hybridMultilevel"/>
    <w:tmpl w:val="9E9EC24C"/>
    <w:lvl w:ilvl="0" w:tplc="185860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638F4"/>
    <w:multiLevelType w:val="hybridMultilevel"/>
    <w:tmpl w:val="4500828E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D1B77"/>
    <w:multiLevelType w:val="hybridMultilevel"/>
    <w:tmpl w:val="D6122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41644"/>
    <w:multiLevelType w:val="hybridMultilevel"/>
    <w:tmpl w:val="BB705094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10DBE"/>
    <w:multiLevelType w:val="hybridMultilevel"/>
    <w:tmpl w:val="3A60E30A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245FF"/>
    <w:multiLevelType w:val="hybridMultilevel"/>
    <w:tmpl w:val="2E62D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92632"/>
    <w:multiLevelType w:val="hybridMultilevel"/>
    <w:tmpl w:val="7680868C"/>
    <w:lvl w:ilvl="0" w:tplc="FC70FCB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36C0D8">
      <w:numFmt w:val="bullet"/>
      <w:lvlText w:val="•"/>
      <w:lvlJc w:val="left"/>
      <w:pPr>
        <w:ind w:left="1440" w:hanging="360"/>
      </w:pPr>
      <w:rPr>
        <w:rFonts w:ascii="AGaramond" w:eastAsia="Times New Roman" w:hAnsi="AGaramond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50AA5"/>
    <w:multiLevelType w:val="hybridMultilevel"/>
    <w:tmpl w:val="733C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EF4"/>
    <w:multiLevelType w:val="multilevel"/>
    <w:tmpl w:val="D1F68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62F9F"/>
    <w:multiLevelType w:val="hybridMultilevel"/>
    <w:tmpl w:val="5E3EE3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8A7913"/>
    <w:multiLevelType w:val="hybridMultilevel"/>
    <w:tmpl w:val="642682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4992"/>
    <w:multiLevelType w:val="hybridMultilevel"/>
    <w:tmpl w:val="5338E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43241"/>
    <w:multiLevelType w:val="hybridMultilevel"/>
    <w:tmpl w:val="5CE41FFE"/>
    <w:lvl w:ilvl="0" w:tplc="8E665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57A70"/>
    <w:multiLevelType w:val="multilevel"/>
    <w:tmpl w:val="B7ACB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6B6907"/>
    <w:multiLevelType w:val="hybridMultilevel"/>
    <w:tmpl w:val="FFA61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587E"/>
    <w:multiLevelType w:val="hybridMultilevel"/>
    <w:tmpl w:val="5F860E04"/>
    <w:lvl w:ilvl="0" w:tplc="79F668D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39AA"/>
    <w:multiLevelType w:val="hybridMultilevel"/>
    <w:tmpl w:val="CC906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17067"/>
    <w:multiLevelType w:val="hybridMultilevel"/>
    <w:tmpl w:val="F710E2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C50A1"/>
    <w:multiLevelType w:val="hybridMultilevel"/>
    <w:tmpl w:val="2CCAA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438A9"/>
    <w:multiLevelType w:val="hybridMultilevel"/>
    <w:tmpl w:val="B3AA215E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A9441F"/>
    <w:multiLevelType w:val="hybridMultilevel"/>
    <w:tmpl w:val="3502F578"/>
    <w:lvl w:ilvl="0" w:tplc="185860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28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21"/>
  </w:num>
  <w:num w:numId="10">
    <w:abstractNumId w:val="17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25"/>
  </w:num>
  <w:num w:numId="24">
    <w:abstractNumId w:val="11"/>
  </w:num>
  <w:num w:numId="25">
    <w:abstractNumId w:val="34"/>
  </w:num>
  <w:num w:numId="26">
    <w:abstractNumId w:val="37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3"/>
  </w:num>
  <w:num w:numId="30">
    <w:abstractNumId w:val="32"/>
  </w:num>
  <w:num w:numId="31">
    <w:abstractNumId w:val="26"/>
  </w:num>
  <w:num w:numId="32">
    <w:abstractNumId w:val="16"/>
  </w:num>
  <w:num w:numId="33">
    <w:abstractNumId w:val="29"/>
  </w:num>
  <w:num w:numId="34">
    <w:abstractNumId w:val="24"/>
    <w:lvlOverride w:ilvl="0">
      <w:startOverride w:val="1"/>
    </w:lvlOverride>
  </w:num>
  <w:num w:numId="35">
    <w:abstractNumId w:val="30"/>
  </w:num>
  <w:num w:numId="36">
    <w:abstractNumId w:val="12"/>
  </w:num>
  <w:num w:numId="37">
    <w:abstractNumId w:val="38"/>
  </w:num>
  <w:num w:numId="38">
    <w:abstractNumId w:val="33"/>
  </w:num>
  <w:num w:numId="39">
    <w:abstractNumId w:val="15"/>
  </w:num>
  <w:num w:numId="40">
    <w:abstractNumId w:val="31"/>
  </w:num>
  <w:num w:numId="41">
    <w:abstractNumId w:val="36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13"/>
    <w:rsid w:val="00003DD7"/>
    <w:rsid w:val="000045CB"/>
    <w:rsid w:val="00012DA5"/>
    <w:rsid w:val="00015E3F"/>
    <w:rsid w:val="000364F5"/>
    <w:rsid w:val="0004443D"/>
    <w:rsid w:val="00051B26"/>
    <w:rsid w:val="00053257"/>
    <w:rsid w:val="00054D63"/>
    <w:rsid w:val="000559F7"/>
    <w:rsid w:val="00060C2E"/>
    <w:rsid w:val="0006168A"/>
    <w:rsid w:val="00064E3C"/>
    <w:rsid w:val="00071D7F"/>
    <w:rsid w:val="00077AB2"/>
    <w:rsid w:val="00077D46"/>
    <w:rsid w:val="00077D67"/>
    <w:rsid w:val="0008115B"/>
    <w:rsid w:val="00084A0C"/>
    <w:rsid w:val="00092A81"/>
    <w:rsid w:val="000A0A5B"/>
    <w:rsid w:val="000A38B7"/>
    <w:rsid w:val="000A622E"/>
    <w:rsid w:val="000B7CDE"/>
    <w:rsid w:val="000C2EF5"/>
    <w:rsid w:val="000C4469"/>
    <w:rsid w:val="000C6967"/>
    <w:rsid w:val="000D160E"/>
    <w:rsid w:val="000D6520"/>
    <w:rsid w:val="000D6FB5"/>
    <w:rsid w:val="000E2BCC"/>
    <w:rsid w:val="000E648B"/>
    <w:rsid w:val="000F4EDD"/>
    <w:rsid w:val="000F4FE4"/>
    <w:rsid w:val="000F6C04"/>
    <w:rsid w:val="001121C1"/>
    <w:rsid w:val="0011362E"/>
    <w:rsid w:val="00121764"/>
    <w:rsid w:val="00122337"/>
    <w:rsid w:val="00126A90"/>
    <w:rsid w:val="00132E46"/>
    <w:rsid w:val="00136754"/>
    <w:rsid w:val="00137774"/>
    <w:rsid w:val="00150894"/>
    <w:rsid w:val="001540D7"/>
    <w:rsid w:val="001565C1"/>
    <w:rsid w:val="00166363"/>
    <w:rsid w:val="00166E8B"/>
    <w:rsid w:val="00174AFD"/>
    <w:rsid w:val="00180B64"/>
    <w:rsid w:val="00182CE0"/>
    <w:rsid w:val="0018483D"/>
    <w:rsid w:val="0018758D"/>
    <w:rsid w:val="00190C5E"/>
    <w:rsid w:val="001A62BB"/>
    <w:rsid w:val="001B0D52"/>
    <w:rsid w:val="001B1282"/>
    <w:rsid w:val="001B2D44"/>
    <w:rsid w:val="001B4BE3"/>
    <w:rsid w:val="001B58E8"/>
    <w:rsid w:val="001B7097"/>
    <w:rsid w:val="001B71DC"/>
    <w:rsid w:val="001C512B"/>
    <w:rsid w:val="001D3508"/>
    <w:rsid w:val="001D706C"/>
    <w:rsid w:val="001E1781"/>
    <w:rsid w:val="001E1BEB"/>
    <w:rsid w:val="002042B4"/>
    <w:rsid w:val="002062A5"/>
    <w:rsid w:val="00206B4D"/>
    <w:rsid w:val="00207817"/>
    <w:rsid w:val="00217CC4"/>
    <w:rsid w:val="0022158A"/>
    <w:rsid w:val="0022259F"/>
    <w:rsid w:val="00223158"/>
    <w:rsid w:val="00225FFD"/>
    <w:rsid w:val="002406A7"/>
    <w:rsid w:val="0024107D"/>
    <w:rsid w:val="0024266E"/>
    <w:rsid w:val="00242BFD"/>
    <w:rsid w:val="002439F6"/>
    <w:rsid w:val="002451D0"/>
    <w:rsid w:val="00254753"/>
    <w:rsid w:val="0025598C"/>
    <w:rsid w:val="0025719F"/>
    <w:rsid w:val="00264D12"/>
    <w:rsid w:val="00275969"/>
    <w:rsid w:val="00275CC7"/>
    <w:rsid w:val="00276B42"/>
    <w:rsid w:val="00277292"/>
    <w:rsid w:val="002776B9"/>
    <w:rsid w:val="00280384"/>
    <w:rsid w:val="00293FE9"/>
    <w:rsid w:val="002A102E"/>
    <w:rsid w:val="002C21E0"/>
    <w:rsid w:val="002D4929"/>
    <w:rsid w:val="002E280E"/>
    <w:rsid w:val="002E598A"/>
    <w:rsid w:val="002E69FF"/>
    <w:rsid w:val="002E7947"/>
    <w:rsid w:val="002F00BE"/>
    <w:rsid w:val="002F2C70"/>
    <w:rsid w:val="002F3674"/>
    <w:rsid w:val="002F6B29"/>
    <w:rsid w:val="002F7734"/>
    <w:rsid w:val="003108D6"/>
    <w:rsid w:val="003151F4"/>
    <w:rsid w:val="00321A55"/>
    <w:rsid w:val="00326479"/>
    <w:rsid w:val="003270B9"/>
    <w:rsid w:val="00327A1C"/>
    <w:rsid w:val="00337E01"/>
    <w:rsid w:val="00343088"/>
    <w:rsid w:val="0035326B"/>
    <w:rsid w:val="003602B5"/>
    <w:rsid w:val="003604DE"/>
    <w:rsid w:val="0037458C"/>
    <w:rsid w:val="00375A00"/>
    <w:rsid w:val="0037603F"/>
    <w:rsid w:val="0038290E"/>
    <w:rsid w:val="003841CF"/>
    <w:rsid w:val="0038773A"/>
    <w:rsid w:val="003A585A"/>
    <w:rsid w:val="003B00D6"/>
    <w:rsid w:val="003C325D"/>
    <w:rsid w:val="003E1795"/>
    <w:rsid w:val="003E34D2"/>
    <w:rsid w:val="003F24F9"/>
    <w:rsid w:val="003F5483"/>
    <w:rsid w:val="003F63C8"/>
    <w:rsid w:val="003F6EEC"/>
    <w:rsid w:val="00400CDB"/>
    <w:rsid w:val="00402FB6"/>
    <w:rsid w:val="004032AC"/>
    <w:rsid w:val="00406388"/>
    <w:rsid w:val="00410A34"/>
    <w:rsid w:val="00430A32"/>
    <w:rsid w:val="0043454E"/>
    <w:rsid w:val="004446DE"/>
    <w:rsid w:val="004459B4"/>
    <w:rsid w:val="00450704"/>
    <w:rsid w:val="00451910"/>
    <w:rsid w:val="00472AAB"/>
    <w:rsid w:val="00475373"/>
    <w:rsid w:val="004763A4"/>
    <w:rsid w:val="00480FCA"/>
    <w:rsid w:val="00485F89"/>
    <w:rsid w:val="00486302"/>
    <w:rsid w:val="004958B1"/>
    <w:rsid w:val="004A11F7"/>
    <w:rsid w:val="004A66BF"/>
    <w:rsid w:val="004B3D6B"/>
    <w:rsid w:val="004B58DD"/>
    <w:rsid w:val="004C2DD7"/>
    <w:rsid w:val="004C5459"/>
    <w:rsid w:val="004C77D0"/>
    <w:rsid w:val="004D5897"/>
    <w:rsid w:val="004E264B"/>
    <w:rsid w:val="004E3E96"/>
    <w:rsid w:val="004E54C2"/>
    <w:rsid w:val="004F0685"/>
    <w:rsid w:val="004F29E8"/>
    <w:rsid w:val="004F462C"/>
    <w:rsid w:val="00511E79"/>
    <w:rsid w:val="00516721"/>
    <w:rsid w:val="005314D9"/>
    <w:rsid w:val="00531BB9"/>
    <w:rsid w:val="00537E25"/>
    <w:rsid w:val="00543ED2"/>
    <w:rsid w:val="00544271"/>
    <w:rsid w:val="005446D5"/>
    <w:rsid w:val="00544C1D"/>
    <w:rsid w:val="00545639"/>
    <w:rsid w:val="00552F8D"/>
    <w:rsid w:val="005577BA"/>
    <w:rsid w:val="00560E21"/>
    <w:rsid w:val="00562738"/>
    <w:rsid w:val="005736E0"/>
    <w:rsid w:val="005831EF"/>
    <w:rsid w:val="00583674"/>
    <w:rsid w:val="005939B5"/>
    <w:rsid w:val="005A49D5"/>
    <w:rsid w:val="005A5705"/>
    <w:rsid w:val="005A6A17"/>
    <w:rsid w:val="005B4D71"/>
    <w:rsid w:val="005C103C"/>
    <w:rsid w:val="005E0125"/>
    <w:rsid w:val="005F030A"/>
    <w:rsid w:val="005F78E7"/>
    <w:rsid w:val="00600053"/>
    <w:rsid w:val="00603565"/>
    <w:rsid w:val="00604E2F"/>
    <w:rsid w:val="0060730B"/>
    <w:rsid w:val="006122EC"/>
    <w:rsid w:val="00612465"/>
    <w:rsid w:val="0061408B"/>
    <w:rsid w:val="00616869"/>
    <w:rsid w:val="00625BFA"/>
    <w:rsid w:val="00631B9C"/>
    <w:rsid w:val="00636904"/>
    <w:rsid w:val="0064178B"/>
    <w:rsid w:val="006446BF"/>
    <w:rsid w:val="00647380"/>
    <w:rsid w:val="006536B0"/>
    <w:rsid w:val="0065401C"/>
    <w:rsid w:val="00654F6A"/>
    <w:rsid w:val="006759FC"/>
    <w:rsid w:val="00683253"/>
    <w:rsid w:val="006869DF"/>
    <w:rsid w:val="00687F5B"/>
    <w:rsid w:val="006948A7"/>
    <w:rsid w:val="00697763"/>
    <w:rsid w:val="006A2CD3"/>
    <w:rsid w:val="006B0851"/>
    <w:rsid w:val="006B1637"/>
    <w:rsid w:val="006B285D"/>
    <w:rsid w:val="006B4615"/>
    <w:rsid w:val="006B4D62"/>
    <w:rsid w:val="006B6433"/>
    <w:rsid w:val="006B67D3"/>
    <w:rsid w:val="006D2175"/>
    <w:rsid w:val="006D3291"/>
    <w:rsid w:val="006D4CA5"/>
    <w:rsid w:val="006D6CFA"/>
    <w:rsid w:val="006E6F35"/>
    <w:rsid w:val="006F6651"/>
    <w:rsid w:val="00700FEC"/>
    <w:rsid w:val="00702CCA"/>
    <w:rsid w:val="00710336"/>
    <w:rsid w:val="00723F54"/>
    <w:rsid w:val="007262BC"/>
    <w:rsid w:val="0073162A"/>
    <w:rsid w:val="0074542B"/>
    <w:rsid w:val="00746435"/>
    <w:rsid w:val="00755A5B"/>
    <w:rsid w:val="00755B00"/>
    <w:rsid w:val="00760717"/>
    <w:rsid w:val="007615D7"/>
    <w:rsid w:val="0076277B"/>
    <w:rsid w:val="007701BA"/>
    <w:rsid w:val="00771348"/>
    <w:rsid w:val="00773920"/>
    <w:rsid w:val="00781B7E"/>
    <w:rsid w:val="00791D0A"/>
    <w:rsid w:val="00795451"/>
    <w:rsid w:val="007A4F13"/>
    <w:rsid w:val="007C74CC"/>
    <w:rsid w:val="007D0574"/>
    <w:rsid w:val="007D0640"/>
    <w:rsid w:val="007D0F2F"/>
    <w:rsid w:val="007E2003"/>
    <w:rsid w:val="007E4D01"/>
    <w:rsid w:val="007E5EB9"/>
    <w:rsid w:val="007F21C4"/>
    <w:rsid w:val="007F298A"/>
    <w:rsid w:val="007F3EEE"/>
    <w:rsid w:val="007F7906"/>
    <w:rsid w:val="0080467F"/>
    <w:rsid w:val="00811F2D"/>
    <w:rsid w:val="008212A3"/>
    <w:rsid w:val="0082473C"/>
    <w:rsid w:val="00826305"/>
    <w:rsid w:val="00827B4E"/>
    <w:rsid w:val="00832708"/>
    <w:rsid w:val="008350E1"/>
    <w:rsid w:val="00854E4A"/>
    <w:rsid w:val="0086196D"/>
    <w:rsid w:val="008715B0"/>
    <w:rsid w:val="00872913"/>
    <w:rsid w:val="00880976"/>
    <w:rsid w:val="00887BE6"/>
    <w:rsid w:val="008904A6"/>
    <w:rsid w:val="00893966"/>
    <w:rsid w:val="008A05EA"/>
    <w:rsid w:val="008A2872"/>
    <w:rsid w:val="008B206A"/>
    <w:rsid w:val="008C7A2B"/>
    <w:rsid w:val="008D2467"/>
    <w:rsid w:val="008D7340"/>
    <w:rsid w:val="008E4464"/>
    <w:rsid w:val="008E58BA"/>
    <w:rsid w:val="008E6FD7"/>
    <w:rsid w:val="008F5A34"/>
    <w:rsid w:val="009057ED"/>
    <w:rsid w:val="00907AD0"/>
    <w:rsid w:val="009112F5"/>
    <w:rsid w:val="0091407C"/>
    <w:rsid w:val="009248F9"/>
    <w:rsid w:val="00934B35"/>
    <w:rsid w:val="00935244"/>
    <w:rsid w:val="00940225"/>
    <w:rsid w:val="00944F59"/>
    <w:rsid w:val="0095109C"/>
    <w:rsid w:val="00952645"/>
    <w:rsid w:val="00956710"/>
    <w:rsid w:val="00957EC8"/>
    <w:rsid w:val="00963260"/>
    <w:rsid w:val="00963A91"/>
    <w:rsid w:val="00964820"/>
    <w:rsid w:val="00971B9A"/>
    <w:rsid w:val="00985EE2"/>
    <w:rsid w:val="00996A13"/>
    <w:rsid w:val="00996E6D"/>
    <w:rsid w:val="009A51EC"/>
    <w:rsid w:val="009B5E02"/>
    <w:rsid w:val="009B6439"/>
    <w:rsid w:val="009C522F"/>
    <w:rsid w:val="009C60CD"/>
    <w:rsid w:val="009D1456"/>
    <w:rsid w:val="009D3F94"/>
    <w:rsid w:val="009E03D9"/>
    <w:rsid w:val="009E3D04"/>
    <w:rsid w:val="009F5473"/>
    <w:rsid w:val="00A02232"/>
    <w:rsid w:val="00A039E9"/>
    <w:rsid w:val="00A0446A"/>
    <w:rsid w:val="00A17CF4"/>
    <w:rsid w:val="00A20DC9"/>
    <w:rsid w:val="00A31534"/>
    <w:rsid w:val="00A3545E"/>
    <w:rsid w:val="00A41976"/>
    <w:rsid w:val="00A46162"/>
    <w:rsid w:val="00A46603"/>
    <w:rsid w:val="00A50BE6"/>
    <w:rsid w:val="00A5262C"/>
    <w:rsid w:val="00A579CA"/>
    <w:rsid w:val="00A6451E"/>
    <w:rsid w:val="00A67B4A"/>
    <w:rsid w:val="00A733AB"/>
    <w:rsid w:val="00A73A95"/>
    <w:rsid w:val="00A74E39"/>
    <w:rsid w:val="00A76426"/>
    <w:rsid w:val="00A770F3"/>
    <w:rsid w:val="00A819AD"/>
    <w:rsid w:val="00A84036"/>
    <w:rsid w:val="00A9556D"/>
    <w:rsid w:val="00AB302B"/>
    <w:rsid w:val="00AB467A"/>
    <w:rsid w:val="00AB5EA8"/>
    <w:rsid w:val="00AC4064"/>
    <w:rsid w:val="00AC41A4"/>
    <w:rsid w:val="00AD3F8B"/>
    <w:rsid w:val="00AD6DED"/>
    <w:rsid w:val="00AE0BCD"/>
    <w:rsid w:val="00AE0C9E"/>
    <w:rsid w:val="00AE1BF5"/>
    <w:rsid w:val="00AE2C5A"/>
    <w:rsid w:val="00AE3893"/>
    <w:rsid w:val="00AE3928"/>
    <w:rsid w:val="00AE6EA9"/>
    <w:rsid w:val="00AF4C74"/>
    <w:rsid w:val="00AF5970"/>
    <w:rsid w:val="00B033ED"/>
    <w:rsid w:val="00B05D8A"/>
    <w:rsid w:val="00B2169C"/>
    <w:rsid w:val="00B21BD7"/>
    <w:rsid w:val="00B24D39"/>
    <w:rsid w:val="00B27756"/>
    <w:rsid w:val="00B328D6"/>
    <w:rsid w:val="00B348C6"/>
    <w:rsid w:val="00B42194"/>
    <w:rsid w:val="00B435FA"/>
    <w:rsid w:val="00B5314B"/>
    <w:rsid w:val="00B60A5D"/>
    <w:rsid w:val="00B6296F"/>
    <w:rsid w:val="00B817BF"/>
    <w:rsid w:val="00B87B4F"/>
    <w:rsid w:val="00B903A6"/>
    <w:rsid w:val="00BA073A"/>
    <w:rsid w:val="00BC0851"/>
    <w:rsid w:val="00BD7E94"/>
    <w:rsid w:val="00BE0114"/>
    <w:rsid w:val="00BE1917"/>
    <w:rsid w:val="00BE1AD0"/>
    <w:rsid w:val="00BE2068"/>
    <w:rsid w:val="00BE39E8"/>
    <w:rsid w:val="00BE683C"/>
    <w:rsid w:val="00BE7284"/>
    <w:rsid w:val="00BE7CA5"/>
    <w:rsid w:val="00BF1FCC"/>
    <w:rsid w:val="00BF2724"/>
    <w:rsid w:val="00BF3714"/>
    <w:rsid w:val="00C010BC"/>
    <w:rsid w:val="00C057D1"/>
    <w:rsid w:val="00C13DBA"/>
    <w:rsid w:val="00C20E50"/>
    <w:rsid w:val="00C22B5A"/>
    <w:rsid w:val="00C23AFC"/>
    <w:rsid w:val="00C27B7A"/>
    <w:rsid w:val="00C333F2"/>
    <w:rsid w:val="00C348DB"/>
    <w:rsid w:val="00C4612A"/>
    <w:rsid w:val="00C463FB"/>
    <w:rsid w:val="00C54800"/>
    <w:rsid w:val="00C57707"/>
    <w:rsid w:val="00C620A1"/>
    <w:rsid w:val="00C642FA"/>
    <w:rsid w:val="00C65101"/>
    <w:rsid w:val="00C722E5"/>
    <w:rsid w:val="00C7330A"/>
    <w:rsid w:val="00C75A27"/>
    <w:rsid w:val="00C83701"/>
    <w:rsid w:val="00C905A4"/>
    <w:rsid w:val="00C949DA"/>
    <w:rsid w:val="00C95FF0"/>
    <w:rsid w:val="00CC5108"/>
    <w:rsid w:val="00CC55ED"/>
    <w:rsid w:val="00CC5CA5"/>
    <w:rsid w:val="00CD0A1E"/>
    <w:rsid w:val="00CE3FC2"/>
    <w:rsid w:val="00CF6F94"/>
    <w:rsid w:val="00D000A1"/>
    <w:rsid w:val="00D01831"/>
    <w:rsid w:val="00D0327D"/>
    <w:rsid w:val="00D04789"/>
    <w:rsid w:val="00D21159"/>
    <w:rsid w:val="00D22B89"/>
    <w:rsid w:val="00D34C1E"/>
    <w:rsid w:val="00D45B5A"/>
    <w:rsid w:val="00D46D41"/>
    <w:rsid w:val="00D54BCA"/>
    <w:rsid w:val="00D57221"/>
    <w:rsid w:val="00D70829"/>
    <w:rsid w:val="00D7086E"/>
    <w:rsid w:val="00D71D41"/>
    <w:rsid w:val="00D76CEB"/>
    <w:rsid w:val="00D7796B"/>
    <w:rsid w:val="00D93BBF"/>
    <w:rsid w:val="00D969C7"/>
    <w:rsid w:val="00DA107F"/>
    <w:rsid w:val="00DA47E7"/>
    <w:rsid w:val="00DA5A46"/>
    <w:rsid w:val="00DB18AC"/>
    <w:rsid w:val="00DB2EB1"/>
    <w:rsid w:val="00DC1F48"/>
    <w:rsid w:val="00DC2069"/>
    <w:rsid w:val="00DC4058"/>
    <w:rsid w:val="00DE67D1"/>
    <w:rsid w:val="00DF6B35"/>
    <w:rsid w:val="00E03106"/>
    <w:rsid w:val="00E2330F"/>
    <w:rsid w:val="00E265AF"/>
    <w:rsid w:val="00E41DDC"/>
    <w:rsid w:val="00E42AE0"/>
    <w:rsid w:val="00E46813"/>
    <w:rsid w:val="00E47EFD"/>
    <w:rsid w:val="00E5537A"/>
    <w:rsid w:val="00E63C1A"/>
    <w:rsid w:val="00E6548E"/>
    <w:rsid w:val="00E65DA0"/>
    <w:rsid w:val="00E704D0"/>
    <w:rsid w:val="00E72286"/>
    <w:rsid w:val="00E777E2"/>
    <w:rsid w:val="00E80DD3"/>
    <w:rsid w:val="00E821C8"/>
    <w:rsid w:val="00E8284D"/>
    <w:rsid w:val="00E82FE2"/>
    <w:rsid w:val="00E915B7"/>
    <w:rsid w:val="00E9777A"/>
    <w:rsid w:val="00E97CE5"/>
    <w:rsid w:val="00EA1A05"/>
    <w:rsid w:val="00EA2C90"/>
    <w:rsid w:val="00EB202D"/>
    <w:rsid w:val="00EB7BE2"/>
    <w:rsid w:val="00EB7BE8"/>
    <w:rsid w:val="00EC3D78"/>
    <w:rsid w:val="00EC454A"/>
    <w:rsid w:val="00EC54BB"/>
    <w:rsid w:val="00EC5E23"/>
    <w:rsid w:val="00EC61C0"/>
    <w:rsid w:val="00ED691C"/>
    <w:rsid w:val="00EE1C36"/>
    <w:rsid w:val="00EE7563"/>
    <w:rsid w:val="00EF397A"/>
    <w:rsid w:val="00EF42A6"/>
    <w:rsid w:val="00F02188"/>
    <w:rsid w:val="00F1373A"/>
    <w:rsid w:val="00F174D9"/>
    <w:rsid w:val="00F21EEC"/>
    <w:rsid w:val="00F24DE2"/>
    <w:rsid w:val="00F25E5D"/>
    <w:rsid w:val="00F3358F"/>
    <w:rsid w:val="00F3451D"/>
    <w:rsid w:val="00F3525B"/>
    <w:rsid w:val="00F435F4"/>
    <w:rsid w:val="00F54B0B"/>
    <w:rsid w:val="00F61B87"/>
    <w:rsid w:val="00F70712"/>
    <w:rsid w:val="00F7150E"/>
    <w:rsid w:val="00F74AC7"/>
    <w:rsid w:val="00F76194"/>
    <w:rsid w:val="00F85A0A"/>
    <w:rsid w:val="00F86032"/>
    <w:rsid w:val="00F863A9"/>
    <w:rsid w:val="00F86927"/>
    <w:rsid w:val="00F914D6"/>
    <w:rsid w:val="00F91949"/>
    <w:rsid w:val="00FA2B7E"/>
    <w:rsid w:val="00FA794C"/>
    <w:rsid w:val="00FB295F"/>
    <w:rsid w:val="00FC1130"/>
    <w:rsid w:val="00FC23F3"/>
    <w:rsid w:val="00FD44A2"/>
    <w:rsid w:val="00FF0269"/>
    <w:rsid w:val="00FF0F95"/>
    <w:rsid w:val="00FF3FE3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C8F08"/>
  <w15:chartTrackingRefBased/>
  <w15:docId w15:val="{9717D0C3-21FE-4756-B936-8AC00E3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rsid w:val="008904A6"/>
    <w:rPr>
      <w:rFonts w:ascii="AGaramond" w:eastAsia="Times New Roman" w:hAnsi="AGaramond" w:cs="Times New Roman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904A6"/>
    <w:rPr>
      <w:rFonts w:ascii="AGaramond" w:eastAsia="Times New Roman" w:hAnsi="AGaramond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6B29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000A1"/>
    <w:rPr>
      <w:rFonts w:asciiTheme="minorHAnsi" w:hAnsiTheme="minorHAns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00A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00A1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6F3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6F35"/>
    <w:rPr>
      <w:rFonts w:ascii="Arial Narrow" w:eastAsiaTheme="minorHAnsi" w:hAnsi="Arial Narrow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6F35"/>
    <w:rPr>
      <w:rFonts w:ascii="Arial Narrow" w:eastAsia="Times New Roman" w:hAnsi="Arial Narrow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6A2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6B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E46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46813"/>
    <w:rPr>
      <w:rFonts w:ascii="Arial Narrow" w:hAnsi="Arial Narrow"/>
      <w:i/>
      <w:iCs/>
      <w:color w:val="404040" w:themeColor="text1" w:themeTint="BF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BE683C"/>
    <w:pPr>
      <w:spacing w:after="120"/>
    </w:pPr>
    <w:rPr>
      <w:rFonts w:ascii="AGaramond" w:eastAsia="Times New Roman" w:hAnsi="A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E683C"/>
    <w:rPr>
      <w:rFonts w:ascii="AGaramond" w:eastAsia="Times New Roman" w:hAnsi="AGaramond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B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H:/Mina%20Dokument/Hemsjukv&#229;rdsavtal/Losus%20utkast%20170920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91E11E30AA64D8EE4788E7AFDC236" ma:contentTypeVersion="2" ma:contentTypeDescription="Skapa ett nytt dokument." ma:contentTypeScope="" ma:versionID="43954519c74a8f079fdd670522af6ff8">
  <xsd:schema xmlns:xsd="http://www.w3.org/2001/XMLSchema" xmlns:xs="http://www.w3.org/2001/XMLSchema" xmlns:p="http://schemas.microsoft.com/office/2006/metadata/properties" xmlns:ns2="1d87271b-bf3b-4c30-b24e-3052df09953d" targetNamespace="http://schemas.microsoft.com/office/2006/metadata/properties" ma:root="true" ma:fieldsID="ed884dcb25d97c2f2849efe98c83fe78" ns2:_="">
    <xsd:import namespace="1d87271b-bf3b-4c30-b24e-3052df099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271b-bf3b-4c30-b24e-3052df099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B7D693-B2F7-4235-9816-27739AA8B841}">
  <ds:schemaRefs>
    <ds:schemaRef ds:uri="http://schemas.microsoft.com/office/infopath/2007/PartnerControls"/>
    <ds:schemaRef ds:uri="1d87271b-bf3b-4c30-b24e-3052df09953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7893C1-903F-42ED-8EF8-34CDD9A8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271b-bf3b-4c30-b24e-3052df099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24BD8-975B-435D-A47B-C1CA06C52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BCE17-AE9A-4CC6-A469-6A2D573F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man_user</dc:creator>
  <cp:keywords/>
  <dc:description/>
  <cp:lastModifiedBy>Kerstin Lejonklou</cp:lastModifiedBy>
  <cp:revision>2</cp:revision>
  <cp:lastPrinted>2017-10-31T15:06:00Z</cp:lastPrinted>
  <dcterms:created xsi:type="dcterms:W3CDTF">2019-05-15T13:26:00Z</dcterms:created>
  <dcterms:modified xsi:type="dcterms:W3CDTF">2019-05-15T13:26:00Z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0x010100FCF91E11E30AA64D8EE4788E7AFDC236</vt:lpwstr>
  </property>
</Properties>
</file>